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FZXBSK--GBK1-0" w:eastAsia="方正小标宋简体" w:cs="宋体"/>
          <w:color w:val="000000"/>
          <w:kern w:val="0"/>
          <w:sz w:val="36"/>
          <w:szCs w:val="36"/>
        </w:rPr>
      </w:pPr>
      <w:r>
        <w:rPr>
          <w:rFonts w:hint="eastAsia" w:ascii="方正小标宋简体" w:hAnsi="FZXBSK--GBK1-0" w:eastAsia="方正小标宋简体" w:cs="宋体"/>
          <w:color w:val="000000"/>
          <w:kern w:val="0"/>
          <w:sz w:val="36"/>
          <w:szCs w:val="36"/>
        </w:rPr>
        <w:t>2021年城市警备防务与基层政法经常性补助-社区矫正专项资金绩效评价报告</w:t>
      </w:r>
    </w:p>
    <w:p>
      <w:pPr>
        <w:spacing w:line="54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为进一步加强财政资金管理，推进预算编制科学化、精细化，提高财政专项资金的使用绩效和项目管理水平，根据《中华人民共和国预算法》、《关于印发&lt;项目支出绩效评价管理办法&gt;（财预[2020]10号）、省财政厅、省司法厅《江苏省社区矫正补助专项资金管理办法》、《南京市市级社区矫正专项资金管理办法》等文件精神，对2021年度南京市司法局社区矫正专项资金进行绩效评价。现将评价情况及结果报告如下：</w:t>
      </w:r>
    </w:p>
    <w:p>
      <w:pPr>
        <w:pStyle w:val="7"/>
        <w:spacing w:line="540" w:lineRule="exact"/>
        <w:outlineLvl w:val="0"/>
        <w:rPr>
          <w:rFonts w:ascii="黑体" w:cs="仿宋"/>
          <w:bCs w:val="0"/>
          <w:sz w:val="32"/>
        </w:rPr>
      </w:pPr>
      <w:bookmarkStart w:id="0" w:name="_Toc20276"/>
      <w:r>
        <w:rPr>
          <w:rFonts w:hint="eastAsia" w:ascii="黑体" w:cs="仿宋"/>
          <w:bCs w:val="0"/>
          <w:sz w:val="32"/>
        </w:rPr>
        <w:t>一、项目基本情况</w:t>
      </w:r>
      <w:bookmarkEnd w:id="0"/>
    </w:p>
    <w:p>
      <w:pPr>
        <w:spacing w:line="540" w:lineRule="exact"/>
        <w:ind w:firstLine="643" w:firstLineChars="200"/>
        <w:outlineLvl w:val="1"/>
        <w:rPr>
          <w:rFonts w:ascii="楷体_GB2312" w:eastAsia="楷体_GB2312" w:cs="仿宋"/>
          <w:b/>
          <w:sz w:val="32"/>
          <w:szCs w:val="32"/>
        </w:rPr>
      </w:pPr>
      <w:bookmarkStart w:id="1" w:name="_Toc26355"/>
      <w:bookmarkStart w:id="2" w:name="_Toc59627551"/>
      <w:bookmarkStart w:id="3" w:name="_Toc21920"/>
      <w:r>
        <w:rPr>
          <w:rFonts w:hint="eastAsia" w:ascii="楷体_GB2312" w:eastAsia="楷体_GB2312" w:cs="仿宋"/>
          <w:b/>
          <w:sz w:val="32"/>
          <w:szCs w:val="32"/>
        </w:rPr>
        <w:t>（一）项目</w:t>
      </w:r>
      <w:bookmarkEnd w:id="1"/>
      <w:r>
        <w:rPr>
          <w:rFonts w:hint="eastAsia" w:ascii="楷体_GB2312" w:eastAsia="楷体_GB2312" w:cs="仿宋"/>
          <w:b/>
          <w:sz w:val="32"/>
          <w:szCs w:val="32"/>
        </w:rPr>
        <w:t>概况</w:t>
      </w:r>
      <w:bookmarkEnd w:id="2"/>
      <w:bookmarkEnd w:id="3"/>
    </w:p>
    <w:p>
      <w:pPr>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为进一步保障和促进社区矫正工作的顺利进行，提高矫正工作的信息化水平，落实《社区矫正法》要求，明确社区矫正工作经费的保障责任，满足社区矫正工作的实际需要，南京市设立社区矫正专项资金。</w:t>
      </w:r>
    </w:p>
    <w:p>
      <w:pPr>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南京市司法局贯彻执行社区矫正法律法规和相关政策，研究拟定并组织实施全市社区矫正工作规划和管理制度；指导、监督对全市社区矫正对象的刑罚执行、管理教育和帮扶工作；指导社会力量和志愿者参与社区矫正工作；组织指导社区矫正工作的宣传、培训和理论研究工作。各区司法局、矫正中心指导</w:t>
      </w:r>
      <w:r>
        <w:rPr>
          <w:rFonts w:hint="eastAsia" w:ascii="仿宋_GB2312" w:eastAsia="仿宋_GB2312"/>
          <w:kern w:val="0"/>
          <w:sz w:val="32"/>
          <w:szCs w:val="32"/>
          <w:lang w:val="zh-CN"/>
        </w:rPr>
        <w:t>、管理社区矫正工作，依照有关规定，负责社区矫正对象的接收、教育、管理、监督、考察、解除矫正相关具体工作，针对不同对象采取不同的具体管理教育措施，履行法律、法规规定的其他职权。</w:t>
      </w:r>
    </w:p>
    <w:p>
      <w:pPr>
        <w:spacing w:line="540" w:lineRule="exact"/>
        <w:ind w:firstLine="643" w:firstLineChars="200"/>
        <w:outlineLvl w:val="1"/>
        <w:rPr>
          <w:rFonts w:ascii="楷体_GB2312" w:eastAsia="楷体_GB2312" w:cs="仿宋"/>
          <w:b/>
          <w:sz w:val="32"/>
          <w:szCs w:val="32"/>
        </w:rPr>
      </w:pPr>
      <w:bookmarkStart w:id="4" w:name="_Toc21443"/>
      <w:r>
        <w:rPr>
          <w:rFonts w:hint="eastAsia" w:ascii="楷体_GB2312" w:eastAsia="楷体_GB2312" w:cs="仿宋"/>
          <w:b/>
          <w:sz w:val="32"/>
          <w:szCs w:val="32"/>
        </w:rPr>
        <w:t>（二）资金情况</w:t>
      </w:r>
      <w:bookmarkEnd w:id="4"/>
    </w:p>
    <w:p>
      <w:pPr>
        <w:spacing w:line="54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2021年市级财政部门共安排社区矫正资金317万元。本次评价对象为市级专项资金，市级社区矫正专项资金根据财力补助、社区矫正对象年平均在册人数、社区矫正调查评估工作量、本级经费投入、绩效考核五项指标进行补助，主要涉及12个区司法局，累计支出317万元，使用率100%。</w:t>
      </w:r>
    </w:p>
    <w:tbl>
      <w:tblPr>
        <w:tblStyle w:val="9"/>
        <w:tblpPr w:leftFromText="180" w:rightFromText="180" w:vertAnchor="text" w:horzAnchor="page" w:tblpX="2075" w:tblpY="540"/>
        <w:tblOverlap w:val="never"/>
        <w:tblW w:w="8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67"/>
        <w:gridCol w:w="5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2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kern w:val="0"/>
                <w:sz w:val="32"/>
                <w:szCs w:val="32"/>
              </w:rPr>
            </w:pPr>
            <w:r>
              <w:rPr>
                <w:rFonts w:hint="eastAsia" w:ascii="方正仿宋_GBK" w:eastAsia="方正仿宋_GBK" w:cs="宋体"/>
                <w:kern w:val="0"/>
                <w:sz w:val="32"/>
                <w:szCs w:val="32"/>
              </w:rPr>
              <w:t>各区</w:t>
            </w:r>
          </w:p>
        </w:tc>
        <w:tc>
          <w:tcPr>
            <w:tcW w:w="5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kern w:val="0"/>
                <w:sz w:val="32"/>
                <w:szCs w:val="32"/>
              </w:rPr>
            </w:pPr>
            <w:r>
              <w:rPr>
                <w:rFonts w:hint="eastAsia" w:ascii="方正仿宋_GBK" w:eastAsia="方正仿宋_GBK" w:cs="宋体"/>
                <w:kern w:val="0"/>
                <w:sz w:val="32"/>
                <w:szCs w:val="32"/>
              </w:rPr>
              <w:t>分配金额（万元）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25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eastAsia="方正仿宋_GBK" w:cs="宋体"/>
                <w:kern w:val="0"/>
                <w:sz w:val="32"/>
                <w:szCs w:val="32"/>
              </w:rPr>
            </w:pPr>
            <w:r>
              <w:rPr>
                <w:rFonts w:hint="eastAsia" w:ascii="方正仿宋_GBK" w:eastAsia="方正仿宋_GBK" w:cs="宋体"/>
                <w:kern w:val="0"/>
                <w:sz w:val="32"/>
                <w:szCs w:val="32"/>
              </w:rPr>
              <w:t>玄武区</w:t>
            </w:r>
          </w:p>
        </w:tc>
        <w:tc>
          <w:tcPr>
            <w:tcW w:w="5812" w:type="dxa"/>
            <w:tcBorders>
              <w:top w:val="single" w:color="auto" w:sz="4" w:space="0"/>
              <w:left w:val="nil"/>
              <w:bottom w:val="single" w:color="auto" w:sz="4" w:space="0"/>
              <w:right w:val="single" w:color="auto" w:sz="4" w:space="0"/>
            </w:tcBorders>
            <w:shd w:val="clear" w:color="auto" w:fill="auto"/>
            <w:noWrap/>
            <w:vAlign w:val="center"/>
          </w:tcPr>
          <w:p>
            <w:pPr>
              <w:jc w:val="center"/>
              <w:rPr>
                <w:rFonts w:eastAsia="方正仿宋_GBK"/>
                <w:kern w:val="0"/>
                <w:sz w:val="32"/>
                <w:szCs w:val="32"/>
              </w:rPr>
            </w:pPr>
            <w:r>
              <w:rPr>
                <w:rFonts w:eastAsia="方正仿宋_GBK"/>
                <w:kern w:val="0"/>
                <w:sz w:val="32"/>
                <w:szCs w:val="32"/>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kern w:val="0"/>
                <w:sz w:val="32"/>
                <w:szCs w:val="32"/>
              </w:rPr>
            </w:pPr>
            <w:r>
              <w:rPr>
                <w:rFonts w:hint="eastAsia" w:ascii="方正仿宋_GBK" w:eastAsia="方正仿宋_GBK" w:cs="宋体"/>
                <w:kern w:val="0"/>
                <w:sz w:val="32"/>
                <w:szCs w:val="32"/>
              </w:rPr>
              <w:t>秦淮区</w:t>
            </w:r>
          </w:p>
        </w:tc>
        <w:tc>
          <w:tcPr>
            <w:tcW w:w="5812" w:type="dxa"/>
            <w:tcBorders>
              <w:top w:val="nil"/>
              <w:left w:val="nil"/>
              <w:bottom w:val="single" w:color="auto" w:sz="4" w:space="0"/>
              <w:right w:val="single" w:color="auto" w:sz="4" w:space="0"/>
            </w:tcBorders>
            <w:shd w:val="clear" w:color="auto" w:fill="auto"/>
            <w:noWrap/>
            <w:vAlign w:val="center"/>
          </w:tcPr>
          <w:p>
            <w:pPr>
              <w:widowControl/>
              <w:jc w:val="center"/>
              <w:rPr>
                <w:rFonts w:eastAsia="方正仿宋_GBK"/>
                <w:kern w:val="0"/>
                <w:sz w:val="32"/>
                <w:szCs w:val="32"/>
              </w:rPr>
            </w:pPr>
            <w:r>
              <w:rPr>
                <w:rFonts w:eastAsia="方正仿宋_GBK"/>
                <w:kern w:val="0"/>
                <w:sz w:val="32"/>
                <w:szCs w:val="32"/>
              </w:rPr>
              <w:t xml:space="preserve">27.04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kern w:val="0"/>
                <w:sz w:val="32"/>
                <w:szCs w:val="32"/>
              </w:rPr>
            </w:pPr>
            <w:r>
              <w:rPr>
                <w:rFonts w:hint="eastAsia" w:ascii="方正仿宋_GBK" w:eastAsia="方正仿宋_GBK" w:cs="宋体"/>
                <w:kern w:val="0"/>
                <w:sz w:val="32"/>
                <w:szCs w:val="32"/>
              </w:rPr>
              <w:t>建邺区</w:t>
            </w:r>
          </w:p>
        </w:tc>
        <w:tc>
          <w:tcPr>
            <w:tcW w:w="5812" w:type="dxa"/>
            <w:tcBorders>
              <w:top w:val="nil"/>
              <w:left w:val="nil"/>
              <w:bottom w:val="single" w:color="auto" w:sz="4" w:space="0"/>
              <w:right w:val="single" w:color="auto" w:sz="4" w:space="0"/>
            </w:tcBorders>
            <w:shd w:val="clear" w:color="auto" w:fill="auto"/>
            <w:noWrap/>
            <w:vAlign w:val="center"/>
          </w:tcPr>
          <w:p>
            <w:pPr>
              <w:widowControl/>
              <w:jc w:val="center"/>
              <w:rPr>
                <w:rFonts w:eastAsia="方正仿宋_GBK"/>
                <w:kern w:val="0"/>
                <w:sz w:val="32"/>
                <w:szCs w:val="32"/>
              </w:rPr>
            </w:pPr>
            <w:r>
              <w:rPr>
                <w:rFonts w:eastAsia="方正仿宋_GBK"/>
                <w:kern w:val="0"/>
                <w:sz w:val="32"/>
                <w:szCs w:val="32"/>
              </w:rPr>
              <w:t xml:space="preserve">17.90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kern w:val="0"/>
                <w:sz w:val="32"/>
                <w:szCs w:val="32"/>
              </w:rPr>
            </w:pPr>
            <w:r>
              <w:rPr>
                <w:rFonts w:hint="eastAsia" w:ascii="方正仿宋_GBK" w:eastAsia="方正仿宋_GBK" w:cs="宋体"/>
                <w:kern w:val="0"/>
                <w:sz w:val="32"/>
                <w:szCs w:val="32"/>
              </w:rPr>
              <w:t>鼓楼区</w:t>
            </w:r>
          </w:p>
        </w:tc>
        <w:tc>
          <w:tcPr>
            <w:tcW w:w="5812" w:type="dxa"/>
            <w:tcBorders>
              <w:top w:val="nil"/>
              <w:left w:val="nil"/>
              <w:bottom w:val="single" w:color="auto" w:sz="4" w:space="0"/>
              <w:right w:val="single" w:color="auto" w:sz="4" w:space="0"/>
            </w:tcBorders>
            <w:shd w:val="clear" w:color="auto" w:fill="auto"/>
            <w:noWrap/>
            <w:vAlign w:val="center"/>
          </w:tcPr>
          <w:p>
            <w:pPr>
              <w:widowControl/>
              <w:jc w:val="center"/>
              <w:rPr>
                <w:rFonts w:eastAsia="方正仿宋_GBK"/>
                <w:kern w:val="0"/>
                <w:sz w:val="32"/>
                <w:szCs w:val="32"/>
              </w:rPr>
            </w:pPr>
            <w:r>
              <w:rPr>
                <w:rFonts w:eastAsia="方正仿宋_GBK"/>
                <w:kern w:val="0"/>
                <w:sz w:val="32"/>
                <w:szCs w:val="32"/>
              </w:rPr>
              <w:t xml:space="preserve">28.50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color w:val="000000"/>
                <w:kern w:val="0"/>
                <w:sz w:val="32"/>
                <w:szCs w:val="32"/>
              </w:rPr>
            </w:pPr>
            <w:r>
              <w:rPr>
                <w:rFonts w:hint="eastAsia" w:ascii="方正仿宋_GBK" w:eastAsia="方正仿宋_GBK" w:cs="宋体"/>
                <w:color w:val="000000"/>
                <w:kern w:val="0"/>
                <w:sz w:val="32"/>
                <w:szCs w:val="32"/>
              </w:rPr>
              <w:t>栖霞区</w:t>
            </w:r>
          </w:p>
        </w:tc>
        <w:tc>
          <w:tcPr>
            <w:tcW w:w="5812" w:type="dxa"/>
            <w:tcBorders>
              <w:top w:val="nil"/>
              <w:left w:val="nil"/>
              <w:bottom w:val="single" w:color="auto" w:sz="4" w:space="0"/>
              <w:right w:val="single" w:color="auto" w:sz="4" w:space="0"/>
            </w:tcBorders>
            <w:shd w:val="clear" w:color="auto" w:fill="auto"/>
            <w:noWrap/>
            <w:vAlign w:val="center"/>
          </w:tcPr>
          <w:p>
            <w:pPr>
              <w:widowControl/>
              <w:jc w:val="center"/>
              <w:rPr>
                <w:rFonts w:eastAsia="方正仿宋_GBK"/>
                <w:color w:val="000000"/>
                <w:kern w:val="0"/>
                <w:sz w:val="32"/>
                <w:szCs w:val="32"/>
              </w:rPr>
            </w:pPr>
            <w:r>
              <w:rPr>
                <w:rFonts w:eastAsia="方正仿宋_GBK"/>
                <w:color w:val="000000"/>
                <w:kern w:val="0"/>
                <w:sz w:val="32"/>
                <w:szCs w:val="32"/>
              </w:rPr>
              <w:t xml:space="preserve">30.19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color w:val="000000"/>
                <w:kern w:val="0"/>
                <w:sz w:val="32"/>
                <w:szCs w:val="32"/>
              </w:rPr>
            </w:pPr>
            <w:r>
              <w:rPr>
                <w:rFonts w:hint="eastAsia" w:ascii="方正仿宋_GBK" w:eastAsia="方正仿宋_GBK" w:cs="宋体"/>
                <w:color w:val="000000"/>
                <w:kern w:val="0"/>
                <w:sz w:val="32"/>
                <w:szCs w:val="32"/>
              </w:rPr>
              <w:t>雨花台区</w:t>
            </w:r>
          </w:p>
        </w:tc>
        <w:tc>
          <w:tcPr>
            <w:tcW w:w="5812" w:type="dxa"/>
            <w:tcBorders>
              <w:top w:val="nil"/>
              <w:left w:val="nil"/>
              <w:bottom w:val="single" w:color="auto" w:sz="4" w:space="0"/>
              <w:right w:val="single" w:color="auto" w:sz="4" w:space="0"/>
            </w:tcBorders>
            <w:shd w:val="clear" w:color="auto" w:fill="auto"/>
            <w:noWrap/>
            <w:vAlign w:val="center"/>
          </w:tcPr>
          <w:p>
            <w:pPr>
              <w:widowControl/>
              <w:jc w:val="center"/>
              <w:rPr>
                <w:rFonts w:eastAsia="方正仿宋_GBK"/>
                <w:color w:val="000000"/>
                <w:kern w:val="0"/>
                <w:sz w:val="32"/>
                <w:szCs w:val="32"/>
              </w:rPr>
            </w:pPr>
            <w:r>
              <w:rPr>
                <w:rFonts w:eastAsia="方正仿宋_GBK"/>
                <w:color w:val="000000"/>
                <w:kern w:val="0"/>
                <w:sz w:val="32"/>
                <w:szCs w:val="32"/>
              </w:rPr>
              <w:t xml:space="preserve">20.90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color w:val="000000"/>
                <w:kern w:val="0"/>
                <w:sz w:val="32"/>
                <w:szCs w:val="32"/>
              </w:rPr>
            </w:pPr>
            <w:r>
              <w:rPr>
                <w:rFonts w:hint="eastAsia" w:ascii="方正仿宋_GBK" w:eastAsia="方正仿宋_GBK" w:cs="宋体"/>
                <w:color w:val="000000"/>
                <w:kern w:val="0"/>
                <w:sz w:val="32"/>
                <w:szCs w:val="32"/>
              </w:rPr>
              <w:t>江宁区</w:t>
            </w:r>
          </w:p>
        </w:tc>
        <w:tc>
          <w:tcPr>
            <w:tcW w:w="5812" w:type="dxa"/>
            <w:tcBorders>
              <w:top w:val="nil"/>
              <w:left w:val="nil"/>
              <w:bottom w:val="single" w:color="auto" w:sz="4" w:space="0"/>
              <w:right w:val="single" w:color="auto" w:sz="4" w:space="0"/>
            </w:tcBorders>
            <w:shd w:val="clear" w:color="auto" w:fill="auto"/>
            <w:noWrap/>
            <w:vAlign w:val="center"/>
          </w:tcPr>
          <w:p>
            <w:pPr>
              <w:widowControl/>
              <w:jc w:val="center"/>
              <w:rPr>
                <w:rFonts w:eastAsia="方正仿宋_GBK"/>
                <w:color w:val="000000"/>
                <w:kern w:val="0"/>
                <w:sz w:val="32"/>
                <w:szCs w:val="32"/>
              </w:rPr>
            </w:pPr>
            <w:r>
              <w:rPr>
                <w:rFonts w:eastAsia="方正仿宋_GBK"/>
                <w:color w:val="000000"/>
                <w:kern w:val="0"/>
                <w:sz w:val="32"/>
                <w:szCs w:val="32"/>
              </w:rPr>
              <w:t xml:space="preserve">64.40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color w:val="000000"/>
                <w:kern w:val="0"/>
                <w:sz w:val="32"/>
                <w:szCs w:val="32"/>
              </w:rPr>
            </w:pPr>
            <w:r>
              <w:rPr>
                <w:rFonts w:hint="eastAsia" w:ascii="方正仿宋_GBK" w:eastAsia="方正仿宋_GBK" w:cs="宋体"/>
                <w:color w:val="000000"/>
                <w:kern w:val="0"/>
                <w:sz w:val="32"/>
                <w:szCs w:val="32"/>
              </w:rPr>
              <w:t>浦口区</w:t>
            </w:r>
          </w:p>
        </w:tc>
        <w:tc>
          <w:tcPr>
            <w:tcW w:w="5812" w:type="dxa"/>
            <w:tcBorders>
              <w:top w:val="nil"/>
              <w:left w:val="nil"/>
              <w:bottom w:val="single" w:color="auto" w:sz="4" w:space="0"/>
              <w:right w:val="single" w:color="auto" w:sz="4" w:space="0"/>
            </w:tcBorders>
            <w:shd w:val="clear" w:color="auto" w:fill="auto"/>
            <w:noWrap/>
            <w:vAlign w:val="center"/>
          </w:tcPr>
          <w:p>
            <w:pPr>
              <w:widowControl/>
              <w:jc w:val="center"/>
              <w:rPr>
                <w:rFonts w:eastAsia="方正仿宋_GBK"/>
                <w:color w:val="000000"/>
                <w:kern w:val="0"/>
                <w:sz w:val="32"/>
                <w:szCs w:val="32"/>
              </w:rPr>
            </w:pPr>
            <w:r>
              <w:rPr>
                <w:rFonts w:eastAsia="方正仿宋_GBK"/>
                <w:color w:val="000000"/>
                <w:kern w:val="0"/>
                <w:sz w:val="32"/>
                <w:szCs w:val="32"/>
              </w:rPr>
              <w:t xml:space="preserve">15.84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kern w:val="0"/>
                <w:sz w:val="32"/>
                <w:szCs w:val="32"/>
              </w:rPr>
            </w:pPr>
            <w:r>
              <w:rPr>
                <w:rFonts w:hint="eastAsia" w:ascii="方正仿宋_GBK" w:eastAsia="方正仿宋_GBK" w:cs="宋体"/>
                <w:kern w:val="0"/>
                <w:sz w:val="32"/>
                <w:szCs w:val="32"/>
              </w:rPr>
              <w:t>六合区</w:t>
            </w:r>
          </w:p>
        </w:tc>
        <w:tc>
          <w:tcPr>
            <w:tcW w:w="5812" w:type="dxa"/>
            <w:tcBorders>
              <w:top w:val="nil"/>
              <w:left w:val="nil"/>
              <w:bottom w:val="single" w:color="auto" w:sz="4" w:space="0"/>
              <w:right w:val="single" w:color="auto" w:sz="4" w:space="0"/>
            </w:tcBorders>
            <w:shd w:val="clear" w:color="auto" w:fill="auto"/>
            <w:noWrap/>
            <w:vAlign w:val="center"/>
          </w:tcPr>
          <w:p>
            <w:pPr>
              <w:widowControl/>
              <w:jc w:val="center"/>
              <w:rPr>
                <w:rFonts w:eastAsia="方正仿宋_GBK"/>
                <w:kern w:val="0"/>
                <w:sz w:val="32"/>
                <w:szCs w:val="32"/>
              </w:rPr>
            </w:pPr>
            <w:r>
              <w:rPr>
                <w:rFonts w:eastAsia="方正仿宋_GBK"/>
                <w:kern w:val="0"/>
                <w:sz w:val="32"/>
                <w:szCs w:val="32"/>
              </w:rPr>
              <w:t xml:space="preserve">21.53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kern w:val="0"/>
                <w:sz w:val="32"/>
                <w:szCs w:val="32"/>
              </w:rPr>
            </w:pPr>
            <w:r>
              <w:rPr>
                <w:rFonts w:hint="eastAsia" w:ascii="方正仿宋_GBK" w:eastAsia="方正仿宋_GBK" w:cs="宋体"/>
                <w:kern w:val="0"/>
                <w:sz w:val="32"/>
                <w:szCs w:val="32"/>
              </w:rPr>
              <w:t>溧水区</w:t>
            </w:r>
          </w:p>
        </w:tc>
        <w:tc>
          <w:tcPr>
            <w:tcW w:w="5812" w:type="dxa"/>
            <w:tcBorders>
              <w:top w:val="nil"/>
              <w:left w:val="nil"/>
              <w:bottom w:val="single" w:color="auto" w:sz="4" w:space="0"/>
              <w:right w:val="single" w:color="auto" w:sz="4" w:space="0"/>
            </w:tcBorders>
            <w:shd w:val="clear" w:color="auto" w:fill="auto"/>
            <w:noWrap/>
            <w:vAlign w:val="center"/>
          </w:tcPr>
          <w:p>
            <w:pPr>
              <w:widowControl/>
              <w:jc w:val="center"/>
              <w:rPr>
                <w:rFonts w:eastAsia="方正仿宋_GBK"/>
                <w:kern w:val="0"/>
                <w:sz w:val="32"/>
                <w:szCs w:val="32"/>
              </w:rPr>
            </w:pPr>
            <w:r>
              <w:rPr>
                <w:rFonts w:eastAsia="方正仿宋_GBK"/>
                <w:kern w:val="0"/>
                <w:sz w:val="32"/>
                <w:szCs w:val="32"/>
              </w:rPr>
              <w:t xml:space="preserve">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kern w:val="0"/>
                <w:sz w:val="32"/>
                <w:szCs w:val="32"/>
              </w:rPr>
            </w:pPr>
            <w:r>
              <w:rPr>
                <w:rFonts w:hint="eastAsia" w:ascii="方正仿宋_GBK" w:eastAsia="方正仿宋_GBK" w:cs="宋体"/>
                <w:kern w:val="0"/>
                <w:sz w:val="32"/>
                <w:szCs w:val="32"/>
              </w:rPr>
              <w:t>高淳区</w:t>
            </w:r>
          </w:p>
        </w:tc>
        <w:tc>
          <w:tcPr>
            <w:tcW w:w="5812" w:type="dxa"/>
            <w:tcBorders>
              <w:top w:val="nil"/>
              <w:left w:val="nil"/>
              <w:bottom w:val="single" w:color="auto" w:sz="4" w:space="0"/>
              <w:right w:val="single" w:color="auto" w:sz="4" w:space="0"/>
            </w:tcBorders>
            <w:shd w:val="clear" w:color="auto" w:fill="auto"/>
            <w:noWrap/>
            <w:vAlign w:val="center"/>
          </w:tcPr>
          <w:p>
            <w:pPr>
              <w:widowControl/>
              <w:jc w:val="center"/>
              <w:rPr>
                <w:rFonts w:eastAsia="方正仿宋_GBK"/>
                <w:kern w:val="0"/>
                <w:sz w:val="32"/>
                <w:szCs w:val="32"/>
              </w:rPr>
            </w:pPr>
            <w:r>
              <w:rPr>
                <w:rFonts w:eastAsia="方正仿宋_GBK"/>
                <w:kern w:val="0"/>
                <w:sz w:val="32"/>
                <w:szCs w:val="32"/>
              </w:rPr>
              <w:t xml:space="preserve">21.61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kern w:val="0"/>
                <w:sz w:val="32"/>
                <w:szCs w:val="32"/>
              </w:rPr>
            </w:pPr>
            <w:r>
              <w:rPr>
                <w:rFonts w:hint="eastAsia" w:ascii="方正仿宋_GBK" w:eastAsia="方正仿宋_GBK" w:cs="宋体"/>
                <w:kern w:val="0"/>
                <w:sz w:val="32"/>
                <w:szCs w:val="32"/>
              </w:rPr>
              <w:t>江北新区</w:t>
            </w:r>
          </w:p>
        </w:tc>
        <w:tc>
          <w:tcPr>
            <w:tcW w:w="5812" w:type="dxa"/>
            <w:tcBorders>
              <w:top w:val="nil"/>
              <w:left w:val="nil"/>
              <w:bottom w:val="single" w:color="auto" w:sz="4" w:space="0"/>
              <w:right w:val="single" w:color="auto" w:sz="4" w:space="0"/>
            </w:tcBorders>
            <w:shd w:val="clear" w:color="auto" w:fill="auto"/>
            <w:noWrap/>
            <w:vAlign w:val="center"/>
          </w:tcPr>
          <w:p>
            <w:pPr>
              <w:widowControl/>
              <w:jc w:val="center"/>
              <w:rPr>
                <w:rFonts w:eastAsia="方正仿宋_GBK"/>
                <w:kern w:val="0"/>
                <w:sz w:val="32"/>
                <w:szCs w:val="32"/>
              </w:rPr>
            </w:pPr>
            <w:r>
              <w:rPr>
                <w:rFonts w:eastAsia="方正仿宋_GBK"/>
                <w:kern w:val="0"/>
                <w:sz w:val="32"/>
                <w:szCs w:val="32"/>
              </w:rPr>
              <w:t xml:space="preserve">31.94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eastAsia="方正仿宋_GBK" w:cs="宋体"/>
                <w:color w:val="000000"/>
                <w:kern w:val="0"/>
                <w:sz w:val="32"/>
                <w:szCs w:val="32"/>
              </w:rPr>
            </w:pPr>
            <w:r>
              <w:rPr>
                <w:rFonts w:hint="eastAsia" w:ascii="方正仿宋_GBK" w:eastAsia="方正仿宋_GBK" w:cs="宋体"/>
                <w:color w:val="000000"/>
                <w:kern w:val="0"/>
                <w:sz w:val="32"/>
                <w:szCs w:val="32"/>
              </w:rPr>
              <w:t>全市合计</w:t>
            </w:r>
          </w:p>
        </w:tc>
        <w:tc>
          <w:tcPr>
            <w:tcW w:w="5812" w:type="dxa"/>
            <w:tcBorders>
              <w:top w:val="nil"/>
              <w:left w:val="nil"/>
              <w:bottom w:val="single" w:color="auto" w:sz="4" w:space="0"/>
              <w:right w:val="single" w:color="auto" w:sz="4" w:space="0"/>
            </w:tcBorders>
            <w:shd w:val="clear" w:color="auto" w:fill="auto"/>
            <w:noWrap/>
            <w:vAlign w:val="center"/>
          </w:tcPr>
          <w:p>
            <w:pPr>
              <w:widowControl/>
              <w:jc w:val="center"/>
              <w:rPr>
                <w:rFonts w:eastAsia="方正仿宋_GBK"/>
                <w:kern w:val="0"/>
                <w:sz w:val="32"/>
                <w:szCs w:val="32"/>
              </w:rPr>
            </w:pPr>
            <w:r>
              <w:rPr>
                <w:rFonts w:eastAsia="方正仿宋_GBK"/>
                <w:kern w:val="0"/>
                <w:sz w:val="32"/>
                <w:szCs w:val="32"/>
              </w:rPr>
              <w:t xml:space="preserve">317.00 </w:t>
            </w:r>
          </w:p>
        </w:tc>
      </w:tr>
    </w:tbl>
    <w:p>
      <w:pPr>
        <w:spacing w:line="540" w:lineRule="exact"/>
        <w:ind w:firstLine="640" w:firstLineChars="200"/>
        <w:rPr>
          <w:rFonts w:ascii="仿宋_GB2312" w:eastAsia="仿宋_GB2312" w:cs="仿宋"/>
          <w:kern w:val="0"/>
          <w:sz w:val="32"/>
          <w:szCs w:val="32"/>
        </w:rPr>
      </w:pPr>
    </w:p>
    <w:p>
      <w:pPr>
        <w:pStyle w:val="11"/>
        <w:numPr>
          <w:ilvl w:val="0"/>
          <w:numId w:val="1"/>
        </w:numPr>
        <w:spacing w:line="540" w:lineRule="exact"/>
        <w:ind w:firstLineChars="0"/>
        <w:outlineLvl w:val="1"/>
        <w:rPr>
          <w:rFonts w:ascii="楷体_GB2312" w:eastAsia="楷体_GB2312" w:cs="仿宋"/>
          <w:b/>
          <w:sz w:val="32"/>
          <w:szCs w:val="32"/>
        </w:rPr>
      </w:pPr>
      <w:bookmarkStart w:id="5" w:name="_Toc21014"/>
      <w:r>
        <w:rPr>
          <w:rFonts w:hint="eastAsia" w:ascii="楷体_GB2312" w:eastAsia="楷体_GB2312" w:cs="仿宋"/>
          <w:b/>
          <w:sz w:val="32"/>
          <w:szCs w:val="32"/>
        </w:rPr>
        <w:t>项目绩效目标</w:t>
      </w:r>
      <w:bookmarkEnd w:id="5"/>
    </w:p>
    <w:p>
      <w:pPr>
        <w:widowControl/>
        <w:spacing w:before="80" w:after="80" w:line="550" w:lineRule="exact"/>
        <w:ind w:left="640"/>
        <w:jc w:val="left"/>
        <w:rPr>
          <w:rFonts w:ascii="仿宋_GB2312" w:eastAsia="仿宋_GB2312" w:cs="宋体"/>
          <w:b/>
          <w:sz w:val="32"/>
          <w:szCs w:val="32"/>
        </w:rPr>
      </w:pPr>
      <w:r>
        <w:rPr>
          <w:rFonts w:hint="eastAsia" w:ascii="仿宋_GB2312" w:eastAsia="仿宋_GB2312" w:cs="宋体"/>
          <w:b/>
          <w:sz w:val="32"/>
          <w:szCs w:val="32"/>
        </w:rPr>
        <w:t>1.中长期绩效目标</w:t>
      </w:r>
    </w:p>
    <w:p>
      <w:pPr>
        <w:spacing w:line="550" w:lineRule="exact"/>
        <w:ind w:firstLine="640" w:firstLineChars="200"/>
        <w:rPr>
          <w:rFonts w:ascii="仿宋_GB2312" w:eastAsia="仿宋_GB2312"/>
          <w:kern w:val="0"/>
          <w:sz w:val="32"/>
          <w:szCs w:val="32"/>
          <w:lang w:val="zh-CN"/>
        </w:rPr>
      </w:pPr>
      <w:r>
        <w:rPr>
          <w:rFonts w:hint="eastAsia" w:ascii="仿宋_GB2312" w:eastAsia="仿宋_GB2312"/>
          <w:kern w:val="0"/>
          <w:sz w:val="32"/>
          <w:szCs w:val="32"/>
          <w:lang w:val="zh-CN"/>
        </w:rPr>
        <w:t>贯彻</w:t>
      </w:r>
      <w:r>
        <w:rPr>
          <w:rFonts w:ascii="仿宋_GB2312" w:eastAsia="仿宋_GB2312"/>
          <w:kern w:val="0"/>
          <w:sz w:val="32"/>
          <w:szCs w:val="32"/>
          <w:lang w:val="zh-CN"/>
        </w:rPr>
        <w:t>落实</w:t>
      </w:r>
      <w:r>
        <w:rPr>
          <w:rFonts w:hint="eastAsia" w:ascii="仿宋_GB2312" w:eastAsia="仿宋_GB2312"/>
          <w:kern w:val="0"/>
          <w:sz w:val="32"/>
          <w:szCs w:val="32"/>
          <w:lang w:val="zh-CN"/>
        </w:rPr>
        <w:t>《社区矫正法》</w:t>
      </w:r>
      <w:r>
        <w:rPr>
          <w:rFonts w:ascii="仿宋_GB2312" w:eastAsia="仿宋_GB2312"/>
          <w:kern w:val="0"/>
          <w:sz w:val="32"/>
          <w:szCs w:val="32"/>
          <w:lang w:val="zh-CN"/>
        </w:rPr>
        <w:t>、《社区矫正法实施办法》，</w:t>
      </w:r>
      <w:r>
        <w:rPr>
          <w:rFonts w:hint="eastAsia" w:ascii="仿宋_GB2312" w:eastAsia="仿宋_GB2312"/>
          <w:kern w:val="0"/>
          <w:sz w:val="32"/>
          <w:szCs w:val="32"/>
          <w:lang w:val="zh-CN"/>
        </w:rPr>
        <w:t>以及</w:t>
      </w:r>
      <w:r>
        <w:rPr>
          <w:rFonts w:ascii="仿宋_GB2312" w:eastAsia="仿宋_GB2312"/>
          <w:kern w:val="0"/>
          <w:sz w:val="32"/>
          <w:szCs w:val="32"/>
          <w:lang w:val="zh-CN"/>
        </w:rPr>
        <w:t>上级部门</w:t>
      </w:r>
      <w:r>
        <w:rPr>
          <w:rFonts w:hint="eastAsia" w:ascii="仿宋_GB2312" w:eastAsia="仿宋_GB2312"/>
          <w:kern w:val="0"/>
          <w:sz w:val="32"/>
          <w:szCs w:val="32"/>
          <w:lang w:val="zh-CN"/>
        </w:rPr>
        <w:t>工作要求，以维护安全稳定、最大限度降低重新违法犯罪、促进罪犯再社会化为目标，不断完善刑</w:t>
      </w:r>
      <w:r>
        <w:rPr>
          <w:rFonts w:ascii="仿宋_GB2312" w:eastAsia="仿宋_GB2312"/>
          <w:kern w:val="0"/>
          <w:sz w:val="32"/>
          <w:szCs w:val="32"/>
        </w:rPr>
        <w:t>事</w:t>
      </w:r>
      <w:r>
        <w:rPr>
          <w:rFonts w:hint="eastAsia" w:ascii="仿宋_GB2312" w:eastAsia="仿宋_GB2312"/>
          <w:kern w:val="0"/>
          <w:sz w:val="32"/>
          <w:szCs w:val="32"/>
          <w:lang w:val="zh-CN"/>
        </w:rPr>
        <w:t>执行制度，</w:t>
      </w:r>
      <w:r>
        <w:rPr>
          <w:rFonts w:ascii="仿宋_GB2312" w:eastAsia="仿宋_GB2312"/>
          <w:kern w:val="0"/>
          <w:sz w:val="32"/>
          <w:szCs w:val="32"/>
          <w:lang w:val="zh-CN"/>
        </w:rPr>
        <w:t>健全工作机制，</w:t>
      </w:r>
      <w:r>
        <w:rPr>
          <w:rFonts w:hint="eastAsia" w:ascii="仿宋_GB2312" w:eastAsia="仿宋_GB2312"/>
          <w:kern w:val="0"/>
          <w:sz w:val="32"/>
          <w:szCs w:val="32"/>
          <w:lang w:val="zh-CN"/>
        </w:rPr>
        <w:t>创新工作方法</w:t>
      </w:r>
      <w:r>
        <w:rPr>
          <w:rFonts w:ascii="仿宋_GB2312" w:eastAsia="仿宋_GB2312"/>
          <w:kern w:val="0"/>
          <w:sz w:val="32"/>
          <w:szCs w:val="32"/>
          <w:lang w:val="zh-CN"/>
        </w:rPr>
        <w:t>，强化社区矫正精准化管控手段</w:t>
      </w:r>
      <w:r>
        <w:rPr>
          <w:rFonts w:hint="eastAsia" w:ascii="仿宋_GB2312" w:eastAsia="仿宋_GB2312"/>
          <w:kern w:val="0"/>
          <w:sz w:val="32"/>
          <w:szCs w:val="32"/>
          <w:lang w:val="zh-CN"/>
        </w:rPr>
        <w:t>，</w:t>
      </w:r>
      <w:r>
        <w:rPr>
          <w:rFonts w:eastAsia="方正仿宋_GBK"/>
          <w:color w:val="000000"/>
          <w:sz w:val="32"/>
          <w:szCs w:val="32"/>
        </w:rPr>
        <w:t>完善矫正中心建设标准，打造流程化、区块化、窗口化实体平台，</w:t>
      </w:r>
      <w:r>
        <w:rPr>
          <w:rFonts w:hint="eastAsia" w:ascii="仿宋_GB2312" w:eastAsia="仿宋_GB2312"/>
          <w:kern w:val="0"/>
          <w:sz w:val="32"/>
          <w:szCs w:val="32"/>
          <w:lang w:val="zh-CN"/>
        </w:rPr>
        <w:t>推进全市社区矫正</w:t>
      </w:r>
      <w:r>
        <w:rPr>
          <w:rFonts w:ascii="仿宋_GB2312" w:eastAsia="仿宋_GB2312"/>
          <w:kern w:val="0"/>
          <w:sz w:val="32"/>
          <w:szCs w:val="32"/>
          <w:lang w:val="zh-CN"/>
        </w:rPr>
        <w:t>规范化、</w:t>
      </w:r>
      <w:r>
        <w:rPr>
          <w:rFonts w:hint="eastAsia" w:ascii="仿宋_GB2312" w:eastAsia="仿宋_GB2312"/>
          <w:kern w:val="0"/>
          <w:sz w:val="32"/>
          <w:szCs w:val="32"/>
          <w:lang w:val="zh-CN"/>
        </w:rPr>
        <w:t>智能化</w:t>
      </w:r>
      <w:r>
        <w:rPr>
          <w:rFonts w:ascii="仿宋_GB2312" w:eastAsia="仿宋_GB2312"/>
          <w:kern w:val="0"/>
          <w:sz w:val="32"/>
          <w:szCs w:val="32"/>
          <w:lang w:val="zh-CN"/>
        </w:rPr>
        <w:t>和</w:t>
      </w:r>
      <w:r>
        <w:rPr>
          <w:rFonts w:hint="eastAsia" w:ascii="仿宋_GB2312" w:eastAsia="仿宋_GB2312"/>
          <w:kern w:val="0"/>
          <w:sz w:val="32"/>
          <w:szCs w:val="32"/>
          <w:lang w:val="zh-CN"/>
        </w:rPr>
        <w:t>实战化建设。</w:t>
      </w:r>
    </w:p>
    <w:p>
      <w:pPr>
        <w:widowControl/>
        <w:spacing w:before="80" w:after="80" w:line="550" w:lineRule="exact"/>
        <w:ind w:left="640"/>
        <w:jc w:val="left"/>
        <w:rPr>
          <w:rFonts w:ascii="仿宋_GB2312" w:eastAsia="仿宋_GB2312" w:cs="宋体"/>
          <w:b/>
          <w:sz w:val="32"/>
          <w:szCs w:val="32"/>
        </w:rPr>
      </w:pPr>
      <w:r>
        <w:rPr>
          <w:rFonts w:hint="eastAsia" w:ascii="仿宋_GB2312" w:eastAsia="仿宋_GB2312" w:cs="宋体"/>
          <w:b/>
          <w:sz w:val="32"/>
          <w:szCs w:val="32"/>
        </w:rPr>
        <w:t>2.年度绩效目标</w:t>
      </w:r>
    </w:p>
    <w:p>
      <w:pPr>
        <w:spacing w:line="550" w:lineRule="exact"/>
        <w:ind w:firstLine="640" w:firstLineChars="200"/>
        <w:rPr>
          <w:rFonts w:ascii="仿宋_GB2312" w:eastAsia="仿宋_GB2312"/>
          <w:kern w:val="0"/>
          <w:sz w:val="32"/>
          <w:szCs w:val="32"/>
          <w:lang w:val="zh-CN"/>
        </w:rPr>
      </w:pPr>
      <w:r>
        <w:rPr>
          <w:rFonts w:hint="eastAsia" w:ascii="仿宋_GB2312" w:eastAsia="仿宋_GB2312"/>
          <w:kern w:val="0"/>
          <w:sz w:val="32"/>
          <w:szCs w:val="32"/>
          <w:lang w:val="zh-CN"/>
        </w:rPr>
        <w:t>认真贯彻省厅、市局决策部署，紧紧围绕示范推进贯彻施行《社区矫正法》这条主线，全面推行社区矫正“一三三模式”，持续提升社区矫正工作质效，做好庆祝建党100周年等重要时段安保维稳任务，确保人员在管在控。</w:t>
      </w:r>
    </w:p>
    <w:p>
      <w:pPr>
        <w:pStyle w:val="7"/>
        <w:spacing w:line="540" w:lineRule="exact"/>
        <w:outlineLvl w:val="0"/>
        <w:rPr>
          <w:rFonts w:ascii="黑体" w:cs="仿宋"/>
          <w:bCs w:val="0"/>
          <w:sz w:val="32"/>
        </w:rPr>
      </w:pPr>
      <w:bookmarkStart w:id="6" w:name="_Toc9751"/>
      <w:r>
        <w:rPr>
          <w:rFonts w:hint="eastAsia" w:ascii="黑体" w:cs="仿宋"/>
          <w:bCs w:val="0"/>
          <w:sz w:val="32"/>
        </w:rPr>
        <w:t>二、评价目的及结果</w:t>
      </w:r>
      <w:bookmarkEnd w:id="6"/>
    </w:p>
    <w:p>
      <w:pPr>
        <w:spacing w:line="540" w:lineRule="exact"/>
        <w:ind w:firstLine="643" w:firstLineChars="200"/>
        <w:outlineLvl w:val="1"/>
        <w:rPr>
          <w:rFonts w:ascii="楷体_GB2312" w:eastAsia="楷体_GB2312" w:cs="仿宋"/>
          <w:b/>
          <w:sz w:val="32"/>
          <w:szCs w:val="32"/>
        </w:rPr>
      </w:pPr>
      <w:bookmarkStart w:id="7" w:name="_Toc20887"/>
      <w:r>
        <w:rPr>
          <w:rFonts w:hint="eastAsia" w:ascii="楷体_GB2312" w:eastAsia="楷体_GB2312" w:cs="仿宋"/>
          <w:b/>
          <w:sz w:val="32"/>
          <w:szCs w:val="32"/>
        </w:rPr>
        <w:t>（一）评价目的</w:t>
      </w:r>
      <w:bookmarkEnd w:id="7"/>
    </w:p>
    <w:p>
      <w:pPr>
        <w:spacing w:line="550" w:lineRule="exact"/>
        <w:ind w:firstLine="640" w:firstLineChars="200"/>
        <w:rPr>
          <w:rFonts w:ascii="仿宋_GB2312" w:eastAsia="仿宋_GB2312"/>
          <w:kern w:val="0"/>
          <w:sz w:val="32"/>
          <w:szCs w:val="32"/>
          <w:highlight w:val="red"/>
        </w:rPr>
      </w:pPr>
      <w:r>
        <w:rPr>
          <w:rFonts w:hint="eastAsia" w:ascii="仿宋_GB2312" w:eastAsia="仿宋_GB2312"/>
          <w:kern w:val="0"/>
          <w:sz w:val="32"/>
          <w:szCs w:val="32"/>
          <w:lang w:val="zh-CN"/>
        </w:rPr>
        <w:t>本次评价对象为南京市司法局社区矫正专项资金。为规范社区矫正专项资金的使用和管理，充分发挥资金使用效益，保障并促进南京市社区矫正工作顺利进行，</w:t>
      </w:r>
      <w:r>
        <w:rPr>
          <w:rFonts w:hint="eastAsia" w:ascii="仿宋_GB2312" w:eastAsia="仿宋_GB2312"/>
          <w:kern w:val="0"/>
          <w:sz w:val="32"/>
          <w:szCs w:val="32"/>
        </w:rPr>
        <w:t>对</w:t>
      </w:r>
      <w:r>
        <w:rPr>
          <w:rFonts w:hint="eastAsia" w:ascii="仿宋_GB2312" w:eastAsia="仿宋_GB2312"/>
          <w:kern w:val="0"/>
          <w:sz w:val="32"/>
          <w:szCs w:val="32"/>
          <w:lang w:val="zh-CN"/>
        </w:rPr>
        <w:t>社区矫正对象的年度监督管理、教育帮扶工作</w:t>
      </w:r>
      <w:r>
        <w:rPr>
          <w:rFonts w:hint="eastAsia" w:ascii="仿宋_GB2312" w:eastAsia="仿宋_GB2312"/>
          <w:kern w:val="0"/>
          <w:sz w:val="32"/>
          <w:szCs w:val="32"/>
        </w:rPr>
        <w:t>产生的效果效益</w:t>
      </w:r>
      <w:r>
        <w:rPr>
          <w:rFonts w:hint="eastAsia" w:ascii="仿宋_GB2312" w:eastAsia="仿宋_GB2312"/>
          <w:kern w:val="0"/>
          <w:sz w:val="32"/>
          <w:szCs w:val="32"/>
          <w:lang w:val="zh-CN"/>
        </w:rPr>
        <w:t>进行评价，总结项目取得的成绩及存在的问题，为今后该项目的预算编制及实施提供有益参考。</w:t>
      </w:r>
    </w:p>
    <w:p>
      <w:pPr>
        <w:spacing w:line="540" w:lineRule="exact"/>
        <w:ind w:firstLine="643" w:firstLineChars="200"/>
        <w:outlineLvl w:val="1"/>
        <w:rPr>
          <w:rFonts w:ascii="楷体_GB2312" w:eastAsia="楷体_GB2312" w:cs="仿宋"/>
          <w:b/>
          <w:sz w:val="32"/>
          <w:szCs w:val="32"/>
        </w:rPr>
      </w:pPr>
      <w:bookmarkStart w:id="8" w:name="_Toc23363"/>
      <w:r>
        <w:rPr>
          <w:rFonts w:hint="eastAsia" w:ascii="楷体_GB2312" w:eastAsia="楷体_GB2312" w:cs="仿宋"/>
          <w:b/>
          <w:sz w:val="32"/>
          <w:szCs w:val="32"/>
        </w:rPr>
        <w:t>（二）评价结果</w:t>
      </w:r>
      <w:bookmarkEnd w:id="8"/>
    </w:p>
    <w:p>
      <w:pPr>
        <w:pStyle w:val="12"/>
        <w:spacing w:line="550" w:lineRule="exact"/>
        <w:rPr>
          <w:rFonts w:ascii="方正仿宋_GBK" w:eastAsia="方正仿宋_GBK"/>
          <w:szCs w:val="32"/>
        </w:rPr>
      </w:pPr>
      <w:r>
        <w:rPr>
          <w:rFonts w:hint="eastAsia" w:ascii="仿宋_GB2312" w:eastAsia="仿宋_GB2312"/>
          <w:szCs w:val="32"/>
        </w:rPr>
        <w:t>南京市司法局</w:t>
      </w:r>
      <w:r>
        <w:rPr>
          <w:rFonts w:hint="eastAsia" w:ascii="仿宋_GB2312" w:eastAsia="仿宋_GB2312"/>
          <w:szCs w:val="32"/>
          <w:lang w:val="en-US"/>
        </w:rPr>
        <w:t>及各区司法局</w:t>
      </w:r>
      <w:r>
        <w:rPr>
          <w:rFonts w:hint="eastAsia" w:ascii="仿宋_GB2312" w:eastAsia="仿宋_GB2312"/>
          <w:szCs w:val="32"/>
        </w:rPr>
        <w:t>能够</w:t>
      </w:r>
      <w:r>
        <w:rPr>
          <w:rFonts w:hint="eastAsia" w:ascii="方正仿宋_GBK" w:eastAsia="方正仿宋_GBK"/>
          <w:szCs w:val="32"/>
        </w:rPr>
        <w:t>紧紧围绕示范推进贯彻施行《社区矫正法》这条主线，全面推行社区矫正“一三三模式”，</w:t>
      </w:r>
      <w:r>
        <w:rPr>
          <w:rFonts w:hint="eastAsia" w:ascii="仿宋_GB2312" w:eastAsia="仿宋_GB2312"/>
          <w:szCs w:val="32"/>
        </w:rPr>
        <w:t>认真履行各项职责，</w:t>
      </w:r>
      <w:r>
        <w:rPr>
          <w:rFonts w:hint="eastAsia" w:ascii="方正仿宋_GBK" w:eastAsia="方正仿宋_GBK"/>
          <w:szCs w:val="32"/>
        </w:rPr>
        <w:t>持续提升社区矫正工作质效，高标准完成了庆祝建党100周年等重要时段安保维稳任务，社区矫正对象重新犯罪率远低于全国、全省平均水平，未发生有重大影响的重新犯罪案件和脱漏管事件，较好地完成了全年各项工作任务，自评分为97分。</w:t>
      </w:r>
    </w:p>
    <w:p>
      <w:pPr>
        <w:pStyle w:val="7"/>
        <w:spacing w:line="540" w:lineRule="exact"/>
        <w:outlineLvl w:val="0"/>
        <w:rPr>
          <w:rFonts w:ascii="黑体" w:cs="仿宋"/>
          <w:bCs w:val="0"/>
          <w:sz w:val="32"/>
        </w:rPr>
      </w:pPr>
      <w:bookmarkStart w:id="9" w:name="_Toc20903"/>
      <w:r>
        <w:rPr>
          <w:rFonts w:hint="eastAsia" w:ascii="黑体" w:cs="仿宋"/>
          <w:bCs w:val="0"/>
          <w:sz w:val="32"/>
        </w:rPr>
        <w:t>三、主要成效</w:t>
      </w:r>
      <w:bookmarkEnd w:id="9"/>
    </w:p>
    <w:p>
      <w:pPr>
        <w:spacing w:line="520" w:lineRule="exact"/>
        <w:ind w:firstLine="640" w:firstLineChars="200"/>
        <w:rPr>
          <w:rFonts w:ascii="仿宋_GB2312" w:eastAsia="仿宋_GB2312"/>
          <w:kern w:val="0"/>
          <w:sz w:val="32"/>
          <w:szCs w:val="32"/>
          <w:lang w:val="zh-CN"/>
        </w:rPr>
      </w:pPr>
      <w:r>
        <w:rPr>
          <w:rFonts w:hint="eastAsia" w:ascii="仿宋_GB2312" w:eastAsia="仿宋_GB2312"/>
          <w:kern w:val="0"/>
          <w:sz w:val="32"/>
          <w:szCs w:val="32"/>
          <w:lang w:val="zh-CN"/>
        </w:rPr>
        <w:t>1</w:t>
      </w:r>
      <w:r>
        <w:rPr>
          <w:rFonts w:ascii="仿宋_GB2312" w:eastAsia="仿宋_GB2312"/>
          <w:kern w:val="0"/>
          <w:sz w:val="32"/>
          <w:szCs w:val="32"/>
          <w:lang w:val="zh-CN"/>
        </w:rPr>
        <w:t>.</w:t>
      </w:r>
      <w:r>
        <w:rPr>
          <w:rFonts w:hint="eastAsia" w:ascii="仿宋_GB2312" w:eastAsia="仿宋_GB2312"/>
          <w:kern w:val="0"/>
          <w:sz w:val="32"/>
          <w:szCs w:val="32"/>
          <w:lang w:val="zh-CN"/>
        </w:rPr>
        <w:t>全年累计接收社区矫正对象3411人、解矫3236人；完成调查评估3368件。安保维稳工作取得成效、规范执法工作不断加强、管理创新工作成效显著、基础保障工作稳步推进、共治共建工作扎实深入、刑罚执行一体化持续推进、帮</w:t>
      </w:r>
      <w:r>
        <w:rPr>
          <w:rFonts w:ascii="仿宋_GB2312" w:eastAsia="仿宋_GB2312"/>
          <w:kern w:val="0"/>
          <w:sz w:val="32"/>
          <w:szCs w:val="32"/>
          <w:lang w:val="zh-CN"/>
        </w:rPr>
        <w:t>扶</w:t>
      </w:r>
      <w:r>
        <w:rPr>
          <w:rFonts w:hint="eastAsia" w:ascii="仿宋_GB2312" w:eastAsia="仿宋_GB2312"/>
          <w:kern w:val="0"/>
          <w:sz w:val="32"/>
          <w:szCs w:val="32"/>
          <w:lang w:val="zh-CN"/>
        </w:rPr>
        <w:t>纾困工作有效开展。</w:t>
      </w:r>
    </w:p>
    <w:p>
      <w:pPr>
        <w:spacing w:line="520" w:lineRule="exact"/>
        <w:ind w:firstLine="640" w:firstLineChars="200"/>
        <w:rPr>
          <w:rFonts w:ascii="仿宋_GB2312" w:eastAsia="仿宋_GB2312"/>
          <w:kern w:val="0"/>
          <w:sz w:val="32"/>
          <w:szCs w:val="32"/>
          <w:lang w:val="zh-CN"/>
        </w:rPr>
      </w:pPr>
      <w:r>
        <w:rPr>
          <w:rFonts w:hint="eastAsia" w:ascii="仿宋_GB2312" w:eastAsia="仿宋_GB2312"/>
          <w:kern w:val="0"/>
          <w:sz w:val="32"/>
          <w:szCs w:val="32"/>
          <w:lang w:val="zh-CN"/>
        </w:rPr>
        <w:t>2</w:t>
      </w:r>
      <w:r>
        <w:rPr>
          <w:rFonts w:ascii="仿宋_GB2312" w:eastAsia="仿宋_GB2312"/>
          <w:kern w:val="0"/>
          <w:sz w:val="32"/>
          <w:szCs w:val="32"/>
          <w:lang w:val="zh-CN"/>
        </w:rPr>
        <w:t>.</w:t>
      </w:r>
      <w:r>
        <w:rPr>
          <w:rFonts w:hint="eastAsia" w:ascii="仿宋_GB2312" w:eastAsia="仿宋_GB2312"/>
          <w:kern w:val="0"/>
          <w:sz w:val="32"/>
          <w:szCs w:val="32"/>
          <w:lang w:val="zh-CN"/>
        </w:rPr>
        <w:t>社区矫正工作体制机制逐步完善。实现市、区、街道三级社区矫正委员会全覆盖，</w:t>
      </w:r>
      <w:r>
        <w:rPr>
          <w:rFonts w:eastAsia="方正仿宋_GBK"/>
          <w:sz w:val="32"/>
          <w:szCs w:val="32"/>
        </w:rPr>
        <w:t>围绕省厅社区矫正“一三三”模式新要求，落实“精细管理”机制，建立分析研判制度、落实三级挂牌制度和每日巡查通报制度。建立“精准矫治”机制，坚持目标、问题和结果导向，把损害修复理念贯穿于社区矫正工作全领域、全过程，构建靶向精准、科学高效的教育矫治工作机制，拓展教育矫正途径方法，丰富教育学习内容形式，提高教育矫正质量，实现由“管得住”向“矫得好”的根本转变。建立“精心帮扶”机制，针对社矫对象受困情形，提供社会救助、劳动就业、教育培训等“一站式”帮助，着力解决就业难、安置难、维权难等问题。</w:t>
      </w:r>
    </w:p>
    <w:p>
      <w:pPr>
        <w:spacing w:line="520" w:lineRule="exact"/>
        <w:ind w:firstLine="640" w:firstLineChars="200"/>
        <w:rPr>
          <w:rFonts w:ascii="仿宋_GB2312" w:eastAsia="仿宋_GB2312"/>
          <w:kern w:val="0"/>
          <w:sz w:val="32"/>
          <w:szCs w:val="32"/>
          <w:lang w:val="zh-CN"/>
        </w:rPr>
      </w:pPr>
      <w:r>
        <w:rPr>
          <w:rFonts w:hint="eastAsia" w:ascii="仿宋_GB2312" w:eastAsia="仿宋_GB2312"/>
          <w:kern w:val="0"/>
          <w:sz w:val="32"/>
          <w:szCs w:val="32"/>
          <w:lang w:val="zh-CN"/>
        </w:rPr>
        <w:t>3</w:t>
      </w:r>
      <w:r>
        <w:rPr>
          <w:rFonts w:ascii="仿宋_GB2312" w:eastAsia="仿宋_GB2312"/>
          <w:kern w:val="0"/>
          <w:sz w:val="32"/>
          <w:szCs w:val="32"/>
          <w:lang w:val="zh-CN"/>
        </w:rPr>
        <w:t>.社区矫正中心建设提档升级。</w:t>
      </w:r>
      <w:r>
        <w:rPr>
          <w:rFonts w:hint="eastAsia" w:ascii="仿宋_GB2312" w:eastAsia="仿宋_GB2312"/>
          <w:kern w:val="0"/>
          <w:sz w:val="32"/>
          <w:szCs w:val="32"/>
          <w:lang w:val="zh-CN"/>
        </w:rPr>
        <w:t>全市社区矫正中心硬件设施得到改善，智慧矫正中心建设稳步推进，</w:t>
      </w:r>
      <w:r>
        <w:rPr>
          <w:rFonts w:hint="eastAsia" w:eastAsia="方正仿宋_GBK"/>
          <w:color w:val="000000"/>
          <w:sz w:val="32"/>
          <w:szCs w:val="32"/>
        </w:rPr>
        <w:t>江宁区</w:t>
      </w:r>
      <w:r>
        <w:rPr>
          <w:rFonts w:hint="eastAsia" w:ascii="仿宋_GB2312" w:eastAsia="仿宋_GB2312"/>
          <w:kern w:val="0"/>
          <w:sz w:val="32"/>
          <w:szCs w:val="32"/>
          <w:lang w:val="zh-CN"/>
        </w:rPr>
        <w:t>社区矫正中心被省司法厅评为第一批省级智慧矫正中心。</w:t>
      </w:r>
      <w:r>
        <w:rPr>
          <w:rFonts w:ascii="仿宋_GB2312" w:eastAsia="仿宋_GB2312"/>
          <w:kern w:val="0"/>
          <w:sz w:val="32"/>
          <w:szCs w:val="32"/>
          <w:lang w:val="zh-CN"/>
        </w:rPr>
        <w:t>玄武区、雨花台区、浦口区、</w:t>
      </w:r>
      <w:r>
        <w:rPr>
          <w:rFonts w:hint="eastAsia" w:eastAsia="方正仿宋_GBK"/>
          <w:color w:val="000000"/>
          <w:sz w:val="32"/>
          <w:szCs w:val="32"/>
        </w:rPr>
        <w:t>溧水区、高淳区和江北新区</w:t>
      </w:r>
      <w:r>
        <w:rPr>
          <w:rFonts w:eastAsia="方正仿宋_GBK"/>
          <w:color w:val="000000"/>
          <w:sz w:val="32"/>
          <w:szCs w:val="32"/>
        </w:rPr>
        <w:t>等</w:t>
      </w:r>
      <w:r>
        <w:rPr>
          <w:rFonts w:hint="eastAsia" w:eastAsia="方正仿宋_GBK"/>
          <w:color w:val="000000"/>
          <w:sz w:val="32"/>
          <w:szCs w:val="32"/>
        </w:rPr>
        <w:t>区级“智慧矫正中心”创建工作</w:t>
      </w:r>
      <w:r>
        <w:rPr>
          <w:rFonts w:eastAsia="方正仿宋_GBK"/>
          <w:color w:val="000000"/>
          <w:sz w:val="32"/>
          <w:szCs w:val="32"/>
        </w:rPr>
        <w:t>已</w:t>
      </w:r>
      <w:r>
        <w:rPr>
          <w:rFonts w:hint="eastAsia" w:eastAsia="方正仿宋_GBK"/>
          <w:color w:val="000000"/>
          <w:sz w:val="32"/>
          <w:szCs w:val="32"/>
        </w:rPr>
        <w:t>初步完</w:t>
      </w:r>
      <w:r>
        <w:rPr>
          <w:rFonts w:eastAsia="方正仿宋_GBK"/>
          <w:color w:val="000000"/>
          <w:sz w:val="32"/>
          <w:szCs w:val="32"/>
        </w:rPr>
        <w:t>成</w:t>
      </w:r>
      <w:r>
        <w:rPr>
          <w:rFonts w:hint="eastAsia" w:eastAsia="方正仿宋_GBK"/>
          <w:color w:val="000000"/>
          <w:sz w:val="32"/>
          <w:szCs w:val="32"/>
        </w:rPr>
        <w:t>创建申报准备，其他各区智慧矫正中心建设</w:t>
      </w:r>
      <w:r>
        <w:rPr>
          <w:rFonts w:eastAsia="方正仿宋_GBK"/>
          <w:color w:val="000000"/>
          <w:sz w:val="32"/>
          <w:szCs w:val="32"/>
        </w:rPr>
        <w:t>正</w:t>
      </w:r>
      <w:r>
        <w:rPr>
          <w:rFonts w:hint="eastAsia" w:eastAsia="方正仿宋_GBK"/>
          <w:color w:val="000000"/>
          <w:sz w:val="32"/>
          <w:szCs w:val="32"/>
        </w:rPr>
        <w:t>在</w:t>
      </w:r>
      <w:r>
        <w:rPr>
          <w:rFonts w:eastAsia="方正仿宋_GBK"/>
          <w:color w:val="000000"/>
          <w:sz w:val="32"/>
          <w:szCs w:val="32"/>
        </w:rPr>
        <w:t>积极推进中。</w:t>
      </w:r>
    </w:p>
    <w:p>
      <w:pPr>
        <w:spacing w:line="520" w:lineRule="exact"/>
        <w:ind w:firstLine="640" w:firstLineChars="200"/>
        <w:rPr>
          <w:rFonts w:ascii="仿宋_GB2312" w:eastAsia="仿宋_GB2312"/>
          <w:kern w:val="0"/>
          <w:sz w:val="32"/>
          <w:szCs w:val="32"/>
          <w:lang w:val="zh-CN"/>
        </w:rPr>
      </w:pPr>
      <w:r>
        <w:rPr>
          <w:rFonts w:hint="eastAsia" w:ascii="仿宋_GB2312" w:eastAsia="仿宋_GB2312"/>
          <w:kern w:val="0"/>
          <w:sz w:val="32"/>
          <w:szCs w:val="32"/>
          <w:lang w:val="zh-CN"/>
        </w:rPr>
        <w:t>4</w:t>
      </w:r>
      <w:r>
        <w:rPr>
          <w:rFonts w:ascii="仿宋_GB2312" w:eastAsia="仿宋_GB2312"/>
          <w:kern w:val="0"/>
          <w:sz w:val="32"/>
          <w:szCs w:val="32"/>
          <w:lang w:val="zh-CN"/>
        </w:rPr>
        <w:t>.</w:t>
      </w:r>
      <w:r>
        <w:rPr>
          <w:rFonts w:hint="eastAsia" w:ascii="仿宋_GB2312" w:eastAsia="仿宋_GB2312"/>
          <w:kern w:val="0"/>
          <w:sz w:val="32"/>
          <w:szCs w:val="32"/>
          <w:lang w:val="zh-CN"/>
        </w:rPr>
        <w:t>创新工作得到上级部门肯定。省司法厅召开全省现场会推广栖霞区危险驾驶类社区矫正对象矫正教育基地和山水园社区帮扶工作站工作经验；</w:t>
      </w:r>
      <w:r>
        <w:rPr>
          <w:rFonts w:eastAsia="方正仿宋_GBK"/>
          <w:color w:val="000000"/>
          <w:sz w:val="32"/>
          <w:szCs w:val="32"/>
        </w:rPr>
        <w:t>江宁区建立“彩虹心桥”女性损害修复工作室，围绕女性性别特点开展“七色”系列活动，促进她们顺利回归、融入社会；</w:t>
      </w:r>
      <w:r>
        <w:rPr>
          <w:rFonts w:hint="eastAsia" w:ascii="仿宋_GB2312" w:eastAsia="仿宋_GB2312"/>
          <w:kern w:val="0"/>
          <w:sz w:val="32"/>
          <w:szCs w:val="32"/>
          <w:lang w:val="zh-CN"/>
        </w:rPr>
        <w:t xml:space="preserve">浦口区建立社区矫正“阳光公益林”基地，组织社区矫正对象开展公益林种植活动，以实际行动助力生态建设，受到省厅、市局好评；市司法局、江宁区局承担省厅政法大数据网上开发试点，实施单轨制线上运行，受到省厅领导批示肯定。 </w:t>
      </w:r>
    </w:p>
    <w:p>
      <w:pPr>
        <w:spacing w:line="520" w:lineRule="exact"/>
        <w:ind w:firstLine="640" w:firstLineChars="200"/>
        <w:rPr>
          <w:rFonts w:ascii="仿宋_GB2312" w:eastAsia="仿宋_GB2312"/>
          <w:kern w:val="0"/>
          <w:sz w:val="32"/>
          <w:szCs w:val="32"/>
          <w:lang w:val="zh-CN"/>
        </w:rPr>
      </w:pPr>
      <w:r>
        <w:rPr>
          <w:rFonts w:hint="eastAsia" w:ascii="仿宋_GB2312" w:eastAsia="仿宋_GB2312"/>
          <w:kern w:val="0"/>
          <w:sz w:val="32"/>
          <w:szCs w:val="32"/>
          <w:lang w:val="zh-CN"/>
        </w:rPr>
        <w:t>5</w:t>
      </w:r>
      <w:r>
        <w:rPr>
          <w:rFonts w:ascii="仿宋_GB2312" w:eastAsia="仿宋_GB2312"/>
          <w:kern w:val="0"/>
          <w:sz w:val="32"/>
          <w:szCs w:val="32"/>
          <w:lang w:val="zh-CN"/>
        </w:rPr>
        <w:t>。部分单位和个人受到表彰。</w:t>
      </w:r>
      <w:r>
        <w:rPr>
          <w:rFonts w:hint="eastAsia" w:ascii="仿宋_GB2312" w:eastAsia="仿宋_GB2312"/>
          <w:kern w:val="0"/>
          <w:sz w:val="32"/>
          <w:szCs w:val="32"/>
          <w:lang w:val="zh-CN"/>
        </w:rPr>
        <w:t>市司法局、秦淮区局、江宁区局、溧水区局社区矫正局被省厅评为全省社矫安帮工作先进集体，另有10名同志被评为全省社矫安帮工作先进个人。</w:t>
      </w:r>
    </w:p>
    <w:p>
      <w:pPr>
        <w:pStyle w:val="7"/>
        <w:spacing w:line="540" w:lineRule="exact"/>
        <w:outlineLvl w:val="0"/>
        <w:rPr>
          <w:rFonts w:ascii="黑体" w:cs="仿宋"/>
          <w:bCs w:val="0"/>
          <w:sz w:val="32"/>
        </w:rPr>
      </w:pPr>
      <w:bookmarkStart w:id="10" w:name="_Toc1398"/>
      <w:r>
        <w:rPr>
          <w:rFonts w:hint="eastAsia" w:ascii="黑体" w:cs="仿宋"/>
          <w:bCs w:val="0"/>
          <w:sz w:val="32"/>
        </w:rPr>
        <w:t>四、主要问题</w:t>
      </w:r>
      <w:bookmarkEnd w:id="10"/>
    </w:p>
    <w:p>
      <w:pPr>
        <w:pStyle w:val="8"/>
        <w:spacing w:before="0" w:beforeAutospacing="0" w:after="0" w:afterAutospacing="0" w:line="520" w:lineRule="exact"/>
        <w:ind w:firstLine="640" w:firstLineChars="200"/>
        <w:rPr>
          <w:rFonts w:ascii="方正仿宋_GBK" w:eastAsia="方正仿宋_GBK" w:cs="Times New Roman"/>
          <w:sz w:val="32"/>
          <w:szCs w:val="32"/>
        </w:rPr>
      </w:pPr>
      <w:r>
        <w:rPr>
          <w:rFonts w:hint="eastAsia" w:ascii="方正仿宋_GBK" w:eastAsia="方正仿宋_GBK" w:cs="Times New Roman"/>
          <w:sz w:val="32"/>
          <w:szCs w:val="32"/>
        </w:rPr>
        <w:t>一是社区矫正对象人数逐年增加，难点热点问题凸显，不稳定不确定因素增加，安全压力进一步加大。</w:t>
      </w:r>
    </w:p>
    <w:p>
      <w:pPr>
        <w:pStyle w:val="8"/>
        <w:spacing w:before="0" w:beforeAutospacing="0" w:after="0" w:afterAutospacing="0" w:line="520" w:lineRule="exact"/>
        <w:ind w:firstLine="640" w:firstLineChars="200"/>
        <w:rPr>
          <w:rFonts w:ascii="方正仿宋_GBK" w:eastAsia="方正仿宋_GBK" w:cs="Times New Roman"/>
          <w:sz w:val="32"/>
          <w:szCs w:val="32"/>
        </w:rPr>
      </w:pPr>
      <w:r>
        <w:rPr>
          <w:rFonts w:hint="eastAsia" w:ascii="方正仿宋_GBK" w:eastAsia="方正仿宋_GBK" w:cs="Times New Roman"/>
          <w:sz w:val="32"/>
          <w:szCs w:val="32"/>
        </w:rPr>
        <w:t>二是社区矫正社工队伍力量薄弱。主要表现为：人员不足、专业性不强、收入低、流动性强，很难保障社区矫正工作高效开展</w:t>
      </w:r>
      <w:r>
        <w:rPr>
          <w:rFonts w:ascii="方正仿宋_GBK" w:eastAsia="方正仿宋_GBK" w:cs="Times New Roman"/>
          <w:sz w:val="32"/>
          <w:szCs w:val="32"/>
        </w:rPr>
        <w:t>。</w:t>
      </w:r>
      <w:r>
        <w:rPr>
          <w:rFonts w:hint="eastAsia" w:ascii="方正仿宋_GBK" w:eastAsia="方正仿宋_GBK" w:cs="Times New Roman"/>
          <w:sz w:val="32"/>
          <w:szCs w:val="32"/>
        </w:rPr>
        <w:t xml:space="preserve">     </w:t>
      </w:r>
    </w:p>
    <w:p>
      <w:pPr>
        <w:pStyle w:val="8"/>
        <w:spacing w:before="0" w:beforeAutospacing="0" w:after="0" w:afterAutospacing="0" w:line="520" w:lineRule="exact"/>
        <w:ind w:firstLine="640" w:firstLineChars="200"/>
        <w:rPr>
          <w:rFonts w:ascii="方正仿宋_GBK" w:eastAsia="方正仿宋_GBK" w:cs="Times New Roman"/>
          <w:sz w:val="32"/>
          <w:szCs w:val="32"/>
        </w:rPr>
      </w:pPr>
      <w:r>
        <w:rPr>
          <w:rFonts w:hint="eastAsia" w:ascii="方正仿宋_GBK" w:eastAsia="方正仿宋_GBK" w:cs="Times New Roman"/>
          <w:sz w:val="32"/>
          <w:szCs w:val="32"/>
        </w:rPr>
        <w:t>三是社会力量参与度不够。主要体现在社会组织数量少、规模小、专业性不强，社会组织参与社区矫正工作制度不健全、渠道不畅通，购买社会服务没有形成规模，教育帮扶成效不明显等</w:t>
      </w:r>
      <w:r>
        <w:rPr>
          <w:rFonts w:ascii="方正仿宋_GBK" w:eastAsia="方正仿宋_GBK" w:cs="Times New Roman"/>
          <w:sz w:val="32"/>
          <w:szCs w:val="32"/>
        </w:rPr>
        <w:t>。</w:t>
      </w:r>
    </w:p>
    <w:p>
      <w:pPr>
        <w:pStyle w:val="8"/>
        <w:spacing w:before="0" w:beforeAutospacing="0" w:after="0" w:afterAutospacing="0" w:line="520" w:lineRule="exact"/>
        <w:ind w:firstLine="640" w:firstLineChars="200"/>
        <w:rPr>
          <w:rFonts w:ascii="方正仿宋_GBK" w:eastAsia="方正仿宋_GBK" w:cs="Times New Roman"/>
          <w:sz w:val="32"/>
          <w:szCs w:val="32"/>
        </w:rPr>
      </w:pPr>
      <w:r>
        <w:rPr>
          <w:rFonts w:hint="eastAsia" w:ascii="方正仿宋_GBK" w:eastAsia="方正仿宋_GBK" w:cs="Times New Roman"/>
          <w:sz w:val="32"/>
          <w:szCs w:val="32"/>
        </w:rPr>
        <w:t>四是场所规范化建设有待加强。主要是部分单位社区矫正场所不规范、不达标，影响社区矫正</w:t>
      </w:r>
      <w:r>
        <w:rPr>
          <w:rFonts w:ascii="方正仿宋_GBK" w:eastAsia="方正仿宋_GBK" w:cs="Times New Roman"/>
          <w:sz w:val="32"/>
          <w:szCs w:val="32"/>
        </w:rPr>
        <w:t>工作规范开展。</w:t>
      </w:r>
    </w:p>
    <w:p>
      <w:pPr>
        <w:pStyle w:val="7"/>
        <w:spacing w:line="540" w:lineRule="exact"/>
        <w:outlineLvl w:val="0"/>
        <w:rPr>
          <w:rFonts w:ascii="黑体" w:cs="仿宋"/>
          <w:bCs w:val="0"/>
          <w:sz w:val="32"/>
        </w:rPr>
      </w:pPr>
      <w:bookmarkStart w:id="11" w:name="_Toc24073"/>
      <w:r>
        <w:rPr>
          <w:rFonts w:hint="eastAsia" w:ascii="黑体" w:cs="仿宋"/>
          <w:bCs w:val="0"/>
          <w:sz w:val="32"/>
        </w:rPr>
        <w:t>五、相关建议</w:t>
      </w:r>
      <w:bookmarkEnd w:id="11"/>
    </w:p>
    <w:p>
      <w:pPr>
        <w:widowControl/>
        <w:spacing w:line="600" w:lineRule="exact"/>
        <w:ind w:firstLine="645"/>
        <w:rPr>
          <w:rFonts w:hint="eastAsia" w:ascii="方正仿宋_GBK" w:eastAsia="方正仿宋_GBK" w:cs="仿宋"/>
          <w:sz w:val="32"/>
          <w:szCs w:val="32"/>
        </w:rPr>
      </w:pPr>
      <w:r>
        <w:rPr>
          <w:rFonts w:ascii="楷体_GB2312" w:eastAsia="楷体_GB2312" w:cs="仿宋"/>
          <w:b/>
          <w:bCs/>
          <w:sz w:val="32"/>
          <w:szCs w:val="32"/>
        </w:rPr>
        <w:t>（一）强化安全底线思维，有效提升安保维稳实战化能力。</w:t>
      </w:r>
      <w:r>
        <w:rPr>
          <w:rFonts w:hint="eastAsia" w:ascii="方正仿宋_GBK" w:eastAsia="方正仿宋_GBK" w:cs="仿宋"/>
          <w:sz w:val="32"/>
          <w:szCs w:val="32"/>
        </w:rPr>
        <w:t>从坚决捍卫“两个确立”、做到“两个维护”的政治高度，充分认识做好维稳安保工作的极端重要性，全面排查化解风险隐患，确保维稳安保工作万无一失。进一步加强对社区矫正对象的教育管理，开展不假外出人员专项整治行动，提高不假外出和人机分离行为的发现查处力度，在党的</w:t>
      </w:r>
      <w:r>
        <w:rPr>
          <w:rFonts w:ascii="方正仿宋_GBK" w:eastAsia="方正仿宋_GBK" w:cs="仿宋"/>
          <w:sz w:val="32"/>
          <w:szCs w:val="32"/>
        </w:rPr>
        <w:t>重大会议</w:t>
      </w:r>
      <w:r>
        <w:rPr>
          <w:rFonts w:hint="eastAsia" w:ascii="方正仿宋_GBK" w:eastAsia="方正仿宋_GBK" w:cs="仿宋"/>
          <w:sz w:val="32"/>
          <w:szCs w:val="32"/>
        </w:rPr>
        <w:t>召开前后，原则上不得批准社区矫正对象进京赴冀，严格外出审批监管，防止不假外出和脱管、漏管。严格落实疫情防控措施，落细落实监管安全隐患排查。滚动修订突发事件处置方案预案，动态完善应急情况处置机制，适时组织突发情况处置演练，不断提升社区矫正实战化运作能力。</w:t>
      </w:r>
    </w:p>
    <w:p>
      <w:pPr>
        <w:widowControl/>
        <w:spacing w:line="600" w:lineRule="exact"/>
        <w:ind w:firstLine="645"/>
        <w:rPr>
          <w:rFonts w:eastAsia="方正仿宋_GBK"/>
          <w:color w:val="000000"/>
          <w:kern w:val="0"/>
          <w:sz w:val="32"/>
          <w:szCs w:val="32"/>
        </w:rPr>
      </w:pPr>
      <w:r>
        <w:rPr>
          <w:rFonts w:hint="eastAsia" w:ascii="楷体_GB2312" w:eastAsia="楷体_GB2312" w:cs="仿宋"/>
          <w:b/>
          <w:sz w:val="32"/>
          <w:szCs w:val="32"/>
        </w:rPr>
        <w:t>（</w:t>
      </w:r>
      <w:r>
        <w:rPr>
          <w:rFonts w:ascii="楷体_GB2312" w:eastAsia="楷体_GB2312" w:cs="仿宋"/>
          <w:b/>
          <w:sz w:val="32"/>
          <w:szCs w:val="32"/>
        </w:rPr>
        <w:t>二</w:t>
      </w:r>
      <w:r>
        <w:rPr>
          <w:rFonts w:hint="eastAsia" w:ascii="楷体_GB2312" w:eastAsia="楷体_GB2312" w:cs="仿宋"/>
          <w:b/>
          <w:sz w:val="32"/>
          <w:szCs w:val="32"/>
        </w:rPr>
        <w:t>）坚持严格公正执法，切实推进</w:t>
      </w:r>
      <w:r>
        <w:rPr>
          <w:rFonts w:ascii="楷体_GB2312" w:eastAsia="楷体_GB2312" w:cs="仿宋"/>
          <w:b/>
          <w:sz w:val="32"/>
          <w:szCs w:val="32"/>
        </w:rPr>
        <w:t>社区</w:t>
      </w:r>
      <w:r>
        <w:rPr>
          <w:rFonts w:hint="eastAsia" w:ascii="楷体_GB2312" w:eastAsia="楷体_GB2312" w:cs="仿宋"/>
          <w:b/>
          <w:sz w:val="32"/>
          <w:szCs w:val="32"/>
        </w:rPr>
        <w:t>矫正规范化建设</w:t>
      </w:r>
      <w:r>
        <w:rPr>
          <w:rFonts w:ascii="楷体_GB2312" w:eastAsia="楷体_GB2312" w:cs="仿宋"/>
          <w:b/>
          <w:sz w:val="32"/>
          <w:szCs w:val="32"/>
        </w:rPr>
        <w:t>。</w:t>
      </w:r>
      <w:r>
        <w:rPr>
          <w:rFonts w:hint="eastAsia" w:eastAsia="方正仿宋_GBK"/>
          <w:color w:val="000000"/>
          <w:kern w:val="0"/>
          <w:sz w:val="32"/>
          <w:szCs w:val="32"/>
        </w:rPr>
        <w:t>贯彻落实好《社区矫正法》《社区矫正法实施办法》及《江苏省社区矫正执法管理工作规范》《江苏省社区矫正机构刑事执行权力清单》</w:t>
      </w:r>
      <w:r>
        <w:rPr>
          <w:rFonts w:eastAsia="方正仿宋_GBK"/>
          <w:color w:val="000000"/>
          <w:kern w:val="0"/>
          <w:sz w:val="32"/>
          <w:szCs w:val="32"/>
        </w:rPr>
        <w:t>等法律法规，积极推进市区两级社区矫正机构赋</w:t>
      </w:r>
      <w:r>
        <w:rPr>
          <w:rFonts w:hint="eastAsia" w:eastAsia="方正仿宋_GBK"/>
          <w:color w:val="000000"/>
          <w:kern w:val="0"/>
          <w:sz w:val="32"/>
          <w:szCs w:val="32"/>
        </w:rPr>
        <w:t>码工作，落实执法主体责任，实现规范执法。落实执法考评制度，完善执法环节合议、公示和法制审核制度，定期开展执法专项检查。巩固减假暂案件专项检查成果，实现问题整改见底归零，确保暂予监外执行罪犯病情诊断、假释和暂予监外执行罪犯收监执行等执法环节合法合规。</w:t>
      </w:r>
      <w:r>
        <w:rPr>
          <w:rFonts w:eastAsia="方正仿宋_GBK"/>
          <w:color w:val="000000"/>
          <w:kern w:val="0"/>
          <w:sz w:val="32"/>
          <w:szCs w:val="32"/>
        </w:rPr>
        <w:t>积极开展执法工作人员工作业务培训，提升执法队伍综合素质。</w:t>
      </w:r>
    </w:p>
    <w:p>
      <w:pPr>
        <w:spacing w:line="540" w:lineRule="exact"/>
        <w:ind w:firstLine="643" w:firstLineChars="200"/>
        <w:outlineLvl w:val="1"/>
        <w:rPr>
          <w:rFonts w:eastAsia="方正仿宋_GBK"/>
          <w:color w:val="000000"/>
          <w:kern w:val="0"/>
          <w:sz w:val="32"/>
          <w:szCs w:val="32"/>
        </w:rPr>
      </w:pPr>
      <w:bookmarkStart w:id="12" w:name="_Toc27873"/>
      <w:r>
        <w:rPr>
          <w:rFonts w:hint="eastAsia" w:ascii="楷体_GB2312" w:eastAsia="楷体_GB2312" w:cs="仿宋"/>
          <w:b/>
          <w:sz w:val="32"/>
          <w:szCs w:val="32"/>
        </w:rPr>
        <w:t>（</w:t>
      </w:r>
      <w:r>
        <w:rPr>
          <w:rFonts w:ascii="楷体_GB2312" w:eastAsia="楷体_GB2312" w:cs="仿宋"/>
          <w:b/>
          <w:sz w:val="32"/>
          <w:szCs w:val="32"/>
        </w:rPr>
        <w:t>三</w:t>
      </w:r>
      <w:r>
        <w:rPr>
          <w:rFonts w:hint="eastAsia" w:ascii="楷体_GB2312" w:eastAsia="楷体_GB2312" w:cs="仿宋"/>
          <w:b/>
          <w:sz w:val="32"/>
          <w:szCs w:val="32"/>
        </w:rPr>
        <w:t>）扩大社会力量参与，</w:t>
      </w:r>
      <w:bookmarkEnd w:id="12"/>
      <w:r>
        <w:rPr>
          <w:rFonts w:hint="eastAsia" w:ascii="方正楷体_GBK" w:eastAsia="方正楷体_GBK" w:cs="Times New Roman"/>
          <w:b/>
          <w:bCs/>
          <w:color w:val="000000"/>
          <w:kern w:val="0"/>
          <w:sz w:val="32"/>
          <w:szCs w:val="32"/>
        </w:rPr>
        <w:t>不断加大教育帮扶精准化力度。</w:t>
      </w:r>
      <w:r>
        <w:rPr>
          <w:rFonts w:hint="eastAsia" w:eastAsia="方正仿宋_GBK"/>
          <w:color w:val="000000"/>
          <w:kern w:val="0"/>
          <w:sz w:val="32"/>
          <w:szCs w:val="32"/>
        </w:rPr>
        <w:t>充分发挥各级社区矫正委员会的统筹协调和指导职责，进一步推动建立党委政府统一领导、司法行政机关主管、有关部门各司其职、社会力量广泛参与的社区矫正工作体制。积极引导社会力量开展社区矫正对象心理辅导、职业技能培训、社会关系改善，做细做实心理矫正。加强与各级政法委的对接，将全市社区矫正</w:t>
      </w:r>
      <w:r>
        <w:rPr>
          <w:rFonts w:eastAsia="方正仿宋_GBK"/>
          <w:color w:val="000000"/>
          <w:kern w:val="0"/>
          <w:sz w:val="32"/>
          <w:szCs w:val="32"/>
        </w:rPr>
        <w:t>对象全部纳入网格管控</w:t>
      </w:r>
      <w:r>
        <w:rPr>
          <w:rFonts w:hint="eastAsia" w:eastAsia="方正仿宋_GBK"/>
          <w:color w:val="000000"/>
          <w:kern w:val="0"/>
          <w:sz w:val="32"/>
          <w:szCs w:val="32"/>
        </w:rPr>
        <w:t>，继续推广</w:t>
      </w:r>
      <w:r>
        <w:rPr>
          <w:rFonts w:eastAsia="方正仿宋_GBK"/>
          <w:color w:val="000000"/>
          <w:kern w:val="0"/>
          <w:sz w:val="32"/>
          <w:szCs w:val="32"/>
        </w:rPr>
        <w:t>网格员</w:t>
      </w:r>
      <w:r>
        <w:rPr>
          <w:rFonts w:hint="eastAsia" w:eastAsia="方正仿宋_GBK"/>
          <w:color w:val="000000"/>
          <w:kern w:val="0"/>
          <w:sz w:val="32"/>
          <w:szCs w:val="32"/>
        </w:rPr>
        <w:t>进</w:t>
      </w:r>
      <w:r>
        <w:rPr>
          <w:rFonts w:eastAsia="方正仿宋_GBK"/>
          <w:color w:val="000000"/>
          <w:kern w:val="0"/>
          <w:sz w:val="32"/>
          <w:szCs w:val="32"/>
        </w:rPr>
        <w:t>矫正小组</w:t>
      </w:r>
      <w:r>
        <w:rPr>
          <w:rFonts w:hint="eastAsia" w:eastAsia="方正仿宋_GBK"/>
          <w:color w:val="000000"/>
          <w:kern w:val="0"/>
          <w:sz w:val="32"/>
          <w:szCs w:val="32"/>
        </w:rPr>
        <w:t>的做法</w:t>
      </w:r>
      <w:r>
        <w:rPr>
          <w:rFonts w:eastAsia="方正仿宋_GBK"/>
          <w:color w:val="000000"/>
          <w:kern w:val="0"/>
          <w:sz w:val="32"/>
          <w:szCs w:val="32"/>
        </w:rPr>
        <w:t>，充分发挥网格员熟悉情况、便于走访、</w:t>
      </w:r>
      <w:r>
        <w:rPr>
          <w:rFonts w:hint="eastAsia" w:eastAsia="方正仿宋_GBK"/>
          <w:color w:val="000000"/>
          <w:kern w:val="0"/>
          <w:sz w:val="32"/>
          <w:szCs w:val="32"/>
        </w:rPr>
        <w:t>善于</w:t>
      </w:r>
      <w:r>
        <w:rPr>
          <w:rFonts w:eastAsia="方正仿宋_GBK"/>
          <w:color w:val="000000"/>
          <w:kern w:val="0"/>
          <w:sz w:val="32"/>
          <w:szCs w:val="32"/>
        </w:rPr>
        <w:t>帮教的优势，实现全市社区矫正工作网格员</w:t>
      </w:r>
      <w:r>
        <w:rPr>
          <w:rFonts w:hint="eastAsia" w:eastAsia="方正仿宋_GBK"/>
          <w:color w:val="000000"/>
          <w:kern w:val="0"/>
          <w:sz w:val="32"/>
          <w:szCs w:val="32"/>
        </w:rPr>
        <w:t>全覆盖</w:t>
      </w:r>
      <w:r>
        <w:rPr>
          <w:rFonts w:eastAsia="方正仿宋_GBK"/>
          <w:color w:val="000000"/>
          <w:kern w:val="0"/>
          <w:sz w:val="32"/>
          <w:szCs w:val="32"/>
        </w:rPr>
        <w:t>。</w:t>
      </w:r>
      <w:r>
        <w:rPr>
          <w:rFonts w:hint="eastAsia" w:eastAsia="方正仿宋_GBK"/>
          <w:color w:val="000000"/>
          <w:kern w:val="0"/>
          <w:sz w:val="32"/>
          <w:szCs w:val="32"/>
        </w:rPr>
        <w:t>加强与民政、人社等部门协作，引导社会力量做好</w:t>
      </w:r>
      <w:r>
        <w:rPr>
          <w:rFonts w:eastAsia="方正仿宋_GBK"/>
          <w:color w:val="000000"/>
          <w:kern w:val="0"/>
          <w:sz w:val="32"/>
          <w:szCs w:val="32"/>
        </w:rPr>
        <w:t>社区矫正</w:t>
      </w:r>
      <w:r>
        <w:rPr>
          <w:rFonts w:hint="eastAsia" w:eastAsia="方正仿宋_GBK"/>
          <w:color w:val="000000"/>
          <w:kern w:val="0"/>
          <w:sz w:val="32"/>
          <w:szCs w:val="32"/>
        </w:rPr>
        <w:t>对象的教育帮扶工作，促使和帮助他们顺利回归融入社会，成为守法公民。继续推动“五老”志愿者、网格员、人民调解员等社会力量参与</w:t>
      </w:r>
      <w:r>
        <w:rPr>
          <w:rFonts w:eastAsia="方正仿宋_GBK"/>
          <w:color w:val="000000"/>
          <w:kern w:val="0"/>
          <w:sz w:val="32"/>
          <w:szCs w:val="32"/>
        </w:rPr>
        <w:t>社区矫正工作</w:t>
      </w:r>
      <w:r>
        <w:rPr>
          <w:rFonts w:hint="eastAsia" w:eastAsia="方正仿宋_GBK"/>
          <w:color w:val="000000"/>
          <w:kern w:val="0"/>
          <w:sz w:val="32"/>
          <w:szCs w:val="32"/>
        </w:rPr>
        <w:t>，广泛动员基层群众性自治组织参与</w:t>
      </w:r>
      <w:r>
        <w:rPr>
          <w:rFonts w:eastAsia="方正仿宋_GBK"/>
          <w:color w:val="000000"/>
          <w:kern w:val="0"/>
          <w:sz w:val="32"/>
          <w:szCs w:val="32"/>
        </w:rPr>
        <w:t>社区矫正</w:t>
      </w:r>
      <w:r>
        <w:rPr>
          <w:rFonts w:hint="eastAsia" w:eastAsia="方正仿宋_GBK"/>
          <w:color w:val="000000"/>
          <w:kern w:val="0"/>
          <w:sz w:val="32"/>
          <w:szCs w:val="32"/>
        </w:rPr>
        <w:t>工作。</w:t>
      </w:r>
    </w:p>
    <w:p>
      <w:pPr>
        <w:spacing w:line="540" w:lineRule="exact"/>
        <w:ind w:firstLine="643" w:firstLineChars="200"/>
        <w:outlineLvl w:val="1"/>
        <w:rPr>
          <w:rFonts w:eastAsia="方正仿宋_GBK"/>
          <w:color w:val="000000"/>
          <w:kern w:val="0"/>
          <w:sz w:val="32"/>
          <w:szCs w:val="32"/>
        </w:rPr>
      </w:pPr>
      <w:bookmarkStart w:id="13" w:name="_Toc20166"/>
      <w:r>
        <w:rPr>
          <w:rFonts w:hint="eastAsia" w:ascii="楷体_GB2312" w:eastAsia="楷体_GB2312" w:cs="仿宋"/>
          <w:b/>
          <w:sz w:val="32"/>
          <w:szCs w:val="32"/>
        </w:rPr>
        <w:t>（</w:t>
      </w:r>
      <w:r>
        <w:rPr>
          <w:rFonts w:ascii="楷体_GB2312" w:eastAsia="楷体_GB2312" w:cs="仿宋"/>
          <w:b/>
          <w:sz w:val="32"/>
          <w:szCs w:val="32"/>
        </w:rPr>
        <w:t>四</w:t>
      </w:r>
      <w:r>
        <w:rPr>
          <w:rFonts w:hint="eastAsia" w:ascii="楷体_GB2312" w:eastAsia="楷体_GB2312" w:cs="仿宋"/>
          <w:b/>
          <w:sz w:val="32"/>
          <w:szCs w:val="32"/>
        </w:rPr>
        <w:t>）</w:t>
      </w:r>
      <w:bookmarkEnd w:id="13"/>
      <w:r>
        <w:rPr>
          <w:rFonts w:ascii="楷体_GB2312" w:eastAsia="楷体_GB2312" w:cs="仿宋"/>
          <w:b/>
          <w:sz w:val="32"/>
          <w:szCs w:val="32"/>
        </w:rPr>
        <w:t>以</w:t>
      </w:r>
      <w:r>
        <w:rPr>
          <w:rFonts w:hint="eastAsia" w:ascii="楷体_GB2312" w:eastAsia="楷体_GB2312" w:cs="仿宋"/>
          <w:b/>
          <w:sz w:val="32"/>
          <w:szCs w:val="32"/>
        </w:rPr>
        <w:t>数字赋能</w:t>
      </w:r>
      <w:r>
        <w:rPr>
          <w:rFonts w:ascii="楷体_GB2312" w:eastAsia="楷体_GB2312" w:cs="仿宋"/>
          <w:b/>
          <w:sz w:val="32"/>
          <w:szCs w:val="32"/>
        </w:rPr>
        <w:t>为支撑</w:t>
      </w:r>
      <w:r>
        <w:rPr>
          <w:rFonts w:hint="eastAsia" w:ascii="楷体_GB2312" w:eastAsia="楷体_GB2312" w:cs="仿宋"/>
          <w:b/>
          <w:sz w:val="32"/>
          <w:szCs w:val="32"/>
        </w:rPr>
        <w:t>，不断提升社区矫正智能化水平</w:t>
      </w:r>
      <w:r>
        <w:rPr>
          <w:rFonts w:ascii="楷体_GB2312" w:eastAsia="楷体_GB2312" w:cs="仿宋"/>
          <w:b/>
          <w:sz w:val="32"/>
          <w:szCs w:val="32"/>
        </w:rPr>
        <w:t>。</w:t>
      </w:r>
      <w:r>
        <w:rPr>
          <w:rFonts w:eastAsia="方正仿宋_GBK"/>
          <w:kern w:val="0"/>
          <w:sz w:val="32"/>
          <w:szCs w:val="32"/>
        </w:rPr>
        <w:t>加强政法业务协同建设，推进业务办理“单轨制”。进一步强化与检察、公安、综治等机构部门的协调，</w:t>
      </w:r>
      <w:r>
        <w:rPr>
          <w:rFonts w:hint="eastAsia" w:eastAsia="方正仿宋_GBK"/>
          <w:kern w:val="0"/>
          <w:sz w:val="32"/>
          <w:szCs w:val="32"/>
        </w:rPr>
        <w:t>及时</w:t>
      </w:r>
      <w:r>
        <w:rPr>
          <w:rFonts w:eastAsia="方正仿宋_GBK"/>
          <w:kern w:val="0"/>
          <w:sz w:val="32"/>
          <w:szCs w:val="32"/>
        </w:rPr>
        <w:t>共享</w:t>
      </w:r>
      <w:r>
        <w:rPr>
          <w:rFonts w:hint="eastAsia" w:eastAsia="方正仿宋_GBK"/>
          <w:kern w:val="0"/>
          <w:sz w:val="32"/>
          <w:szCs w:val="32"/>
        </w:rPr>
        <w:t>社区矫正对象个</w:t>
      </w:r>
      <w:r>
        <w:rPr>
          <w:rFonts w:eastAsia="方正仿宋_GBK"/>
          <w:kern w:val="0"/>
          <w:sz w:val="32"/>
          <w:szCs w:val="32"/>
        </w:rPr>
        <w:t>人数据信息，互相通报重大风险隐患，加强部门联合执法监督管理，共同织密“监管网”。</w:t>
      </w:r>
      <w:r>
        <w:rPr>
          <w:rFonts w:hint="eastAsia" w:eastAsia="方正仿宋_GBK"/>
          <w:color w:val="000000"/>
          <w:kern w:val="0"/>
          <w:sz w:val="32"/>
          <w:szCs w:val="32"/>
        </w:rPr>
        <w:t>加快推进“智慧矫正中心”建设步伐，积极推进省部级“智慧矫正中心”创建工作。</w:t>
      </w:r>
    </w:p>
    <w:p>
      <w:pPr>
        <w:widowControl/>
        <w:spacing w:line="560" w:lineRule="exact"/>
        <w:ind w:firstLine="645"/>
        <w:rPr>
          <w:rFonts w:hint="eastAsia" w:eastAsia="方正仿宋_GBK"/>
          <w:color w:val="000000"/>
          <w:kern w:val="0"/>
          <w:sz w:val="32"/>
          <w:szCs w:val="32"/>
        </w:rPr>
        <w:sectPr>
          <w:headerReference r:id="rId3" w:type="default"/>
          <w:footerReference r:id="rId5" w:type="default"/>
          <w:headerReference r:id="rId4" w:type="even"/>
          <w:footerReference r:id="rId6" w:type="even"/>
          <w:pgSz w:w="11906" w:h="16838"/>
          <w:pgMar w:top="1440" w:right="1588" w:bottom="1440" w:left="1588" w:header="851" w:footer="1400" w:gutter="0"/>
          <w:pgNumType w:fmt="numberInDash"/>
          <w:cols w:space="720" w:num="1"/>
          <w:docGrid w:linePitch="579" w:charSpace="0"/>
        </w:sectPr>
      </w:pPr>
      <w:r>
        <w:rPr>
          <w:rFonts w:hint="eastAsia" w:ascii="楷体_GB2312" w:eastAsia="楷体_GB2312" w:cs="仿宋"/>
          <w:b/>
          <w:sz w:val="32"/>
          <w:szCs w:val="32"/>
        </w:rPr>
        <w:t>（</w:t>
      </w:r>
      <w:r>
        <w:rPr>
          <w:rFonts w:ascii="楷体_GB2312" w:eastAsia="楷体_GB2312" w:cs="仿宋"/>
          <w:b/>
          <w:sz w:val="32"/>
          <w:szCs w:val="32"/>
        </w:rPr>
        <w:t>五</w:t>
      </w:r>
      <w:r>
        <w:rPr>
          <w:rFonts w:hint="eastAsia" w:ascii="楷体_GB2312" w:eastAsia="楷体_GB2312" w:cs="仿宋"/>
          <w:b/>
          <w:sz w:val="32"/>
          <w:szCs w:val="32"/>
        </w:rPr>
        <w:t>）</w:t>
      </w:r>
      <w:r>
        <w:rPr>
          <w:rFonts w:ascii="楷体_GB2312" w:eastAsia="楷体_GB2312" w:cs="仿宋"/>
          <w:b/>
          <w:sz w:val="32"/>
          <w:szCs w:val="32"/>
        </w:rPr>
        <w:t>以</w:t>
      </w:r>
      <w:r>
        <w:rPr>
          <w:rFonts w:hint="eastAsia" w:ascii="楷体_GB2312" w:eastAsia="楷体_GB2312" w:cs="仿宋"/>
          <w:b/>
          <w:sz w:val="32"/>
          <w:szCs w:val="32"/>
        </w:rPr>
        <w:t>服务基层</w:t>
      </w:r>
      <w:r>
        <w:rPr>
          <w:rFonts w:ascii="楷体_GB2312" w:eastAsia="楷体_GB2312" w:cs="仿宋"/>
          <w:b/>
          <w:sz w:val="32"/>
          <w:szCs w:val="32"/>
        </w:rPr>
        <w:t>为</w:t>
      </w:r>
      <w:r>
        <w:rPr>
          <w:rFonts w:hint="eastAsia" w:ascii="楷体_GB2312" w:eastAsia="楷体_GB2312" w:cs="仿宋"/>
          <w:b/>
          <w:sz w:val="32"/>
          <w:szCs w:val="32"/>
        </w:rPr>
        <w:t>导向，持续推进刑罚执行一体化建设</w:t>
      </w:r>
      <w:r>
        <w:rPr>
          <w:rFonts w:ascii="楷体_GB2312" w:eastAsia="楷体_GB2312" w:cs="仿宋"/>
          <w:b/>
          <w:sz w:val="32"/>
          <w:szCs w:val="32"/>
        </w:rPr>
        <w:t>。</w:t>
      </w:r>
      <w:r>
        <w:rPr>
          <w:rFonts w:hint="eastAsia" w:eastAsia="方正仿宋_GBK"/>
          <w:color w:val="000000"/>
          <w:kern w:val="0"/>
          <w:sz w:val="32"/>
          <w:szCs w:val="32"/>
        </w:rPr>
        <w:t>完善监地双方衔接配合机制，做好互帮共建民警有序轮换，继续发挥这支重要力量优势，共建畅通机制，共享双方资源，共谋发展思路，共治特殊人群。改进教育帮扶机制，创新管理模式，做好精细化管理、精准化矫治、精心化帮扶，促进特殊人群有效改造，助力刑罚执行一体化工作高质量发展。</w:t>
      </w:r>
    </w:p>
    <w:p>
      <w:pPr>
        <w:widowControl/>
        <w:spacing w:line="560" w:lineRule="exact"/>
        <w:ind w:firstLine="645"/>
        <w:rPr>
          <w:rFonts w:hint="eastAsia" w:eastAsia="方正仿宋_GBK"/>
          <w:color w:val="000000"/>
          <w:kern w:val="0"/>
          <w:sz w:val="32"/>
          <w:szCs w:val="32"/>
        </w:rPr>
      </w:pPr>
    </w:p>
    <w:p>
      <w:pPr>
        <w:pStyle w:val="5"/>
        <w:spacing w:line="550" w:lineRule="exact"/>
        <w:ind w:firstLine="640" w:firstLineChars="200"/>
        <w:rPr>
          <w:rFonts w:hint="eastAsia" w:ascii="仿宋_GB2312" w:eastAsia="仿宋_GB2312" w:cs="仿宋"/>
          <w:sz w:val="32"/>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cs="仿宋"/>
          <w:sz w:val="32"/>
          <w:szCs w:val="32"/>
        </w:rPr>
        <w:t>附件：1.南京市司法局2021年社区矫正专项资金绩效评价指标评分表</w:t>
      </w:r>
    </w:p>
    <w:p>
      <w:pPr>
        <w:pStyle w:val="5"/>
        <w:spacing w:line="550" w:lineRule="exact"/>
        <w:ind w:firstLine="640" w:firstLineChars="200"/>
        <w:rPr>
          <w:rFonts w:hint="eastAsia" w:ascii="仿宋_GB2312" w:eastAsia="仿宋_GB2312" w:cs="仿宋"/>
          <w:sz w:val="32"/>
          <w:szCs w:val="32"/>
        </w:rPr>
      </w:pPr>
    </w:p>
    <w:p>
      <w:pPr>
        <w:pStyle w:val="13"/>
        <w:ind w:firstLine="0" w:firstLineChars="0"/>
        <w:rPr>
          <w:rFonts w:eastAsia="仿宋" w:cs="仿宋"/>
        </w:rPr>
      </w:pPr>
      <w:bookmarkStart w:id="14" w:name="_Toc7214"/>
      <w:bookmarkStart w:id="15" w:name="_Toc1637465644"/>
      <w:bookmarkStart w:id="16" w:name="_Toc31715"/>
      <w:bookmarkStart w:id="17" w:name="_Toc1363050686"/>
      <w:bookmarkStart w:id="18" w:name="_Toc47337892"/>
      <w:bookmarkStart w:id="19" w:name="_Toc1941238316_WPSOffice_Level1"/>
      <w:bookmarkStart w:id="20" w:name="_Toc25355"/>
      <w:bookmarkStart w:id="21" w:name="_Toc16343266"/>
      <w:bookmarkStart w:id="22" w:name="_Toc17289788"/>
      <w:r>
        <w:rPr>
          <w:rFonts w:hint="eastAsia" w:eastAsia="仿宋" w:cs="仿宋"/>
        </w:rPr>
        <w:t>附件</w:t>
      </w:r>
      <w:r>
        <w:rPr>
          <w:rFonts w:hint="eastAsia" w:ascii="仿宋_GB2312" w:eastAsia="仿宋_GB2312" w:cs="仿宋"/>
        </w:rPr>
        <w:t>-1</w:t>
      </w:r>
    </w:p>
    <w:p>
      <w:pPr>
        <w:pStyle w:val="13"/>
        <w:spacing w:after="240" w:afterLines="100"/>
        <w:rPr>
          <w:rFonts w:ascii="方正小标宋简体" w:eastAsia="方正小标宋简体" w:cs="仿宋"/>
          <w:b w:val="0"/>
          <w:sz w:val="36"/>
          <w:szCs w:val="36"/>
        </w:rPr>
      </w:pPr>
      <w:r>
        <w:rPr>
          <w:rFonts w:hint="eastAsia" w:ascii="方正小标宋简体" w:eastAsia="方正小标宋简体" w:cs="仿宋"/>
          <w:b w:val="0"/>
          <w:sz w:val="36"/>
          <w:szCs w:val="36"/>
        </w:rPr>
        <w:t xml:space="preserve"> 南京市司法局2021年社区矫正专项资金项目绩效评价指标评分表</w:t>
      </w:r>
      <w:bookmarkEnd w:id="14"/>
      <w:bookmarkEnd w:id="15"/>
      <w:bookmarkEnd w:id="16"/>
      <w:bookmarkEnd w:id="17"/>
      <w:bookmarkEnd w:id="18"/>
      <w:bookmarkEnd w:id="19"/>
      <w:bookmarkEnd w:id="20"/>
    </w:p>
    <w:tbl>
      <w:tblPr>
        <w:tblStyle w:val="9"/>
        <w:tblW w:w="15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7"/>
        <w:gridCol w:w="1180"/>
        <w:gridCol w:w="1520"/>
        <w:gridCol w:w="920"/>
        <w:gridCol w:w="4018"/>
        <w:gridCol w:w="5203"/>
        <w:gridCol w:w="816"/>
        <w:gridCol w:w="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blHeader/>
          <w:jc w:val="center"/>
        </w:trPr>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楷体"/>
                <w:b/>
                <w:bCs/>
                <w:color w:val="000000"/>
                <w:szCs w:val="21"/>
              </w:rPr>
            </w:pPr>
            <w:r>
              <w:rPr>
                <w:rFonts w:hint="eastAsia" w:ascii="仿宋_GB2312" w:eastAsia="仿宋_GB2312" w:cs="楷体"/>
                <w:b/>
                <w:bCs/>
                <w:color w:val="000000"/>
                <w:szCs w:val="21"/>
              </w:rPr>
              <w:t>一级指标</w:t>
            </w:r>
          </w:p>
        </w:tc>
        <w:tc>
          <w:tcPr>
            <w:tcW w:w="11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s="楷体"/>
                <w:b/>
                <w:bCs/>
                <w:color w:val="000000"/>
                <w:szCs w:val="21"/>
              </w:rPr>
            </w:pPr>
            <w:r>
              <w:rPr>
                <w:rFonts w:hint="eastAsia" w:ascii="仿宋_GB2312" w:eastAsia="仿宋_GB2312" w:cs="楷体"/>
                <w:b/>
                <w:bCs/>
                <w:color w:val="000000"/>
                <w:szCs w:val="21"/>
              </w:rPr>
              <w:t>二级指标</w:t>
            </w:r>
          </w:p>
        </w:tc>
        <w:tc>
          <w:tcPr>
            <w:tcW w:w="15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s="楷体"/>
                <w:b/>
                <w:bCs/>
                <w:color w:val="000000"/>
                <w:szCs w:val="21"/>
              </w:rPr>
            </w:pPr>
            <w:r>
              <w:rPr>
                <w:rFonts w:hint="eastAsia" w:ascii="仿宋_GB2312" w:eastAsia="仿宋_GB2312" w:cs="楷体"/>
                <w:b/>
                <w:bCs/>
                <w:color w:val="000000"/>
                <w:szCs w:val="21"/>
              </w:rPr>
              <w:t>三级指标</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s="楷体"/>
                <w:b/>
                <w:bCs/>
                <w:color w:val="000000"/>
                <w:szCs w:val="21"/>
              </w:rPr>
            </w:pPr>
            <w:r>
              <w:rPr>
                <w:rFonts w:hint="eastAsia" w:ascii="仿宋_GB2312" w:eastAsia="仿宋_GB2312" w:cs="楷体"/>
                <w:b/>
                <w:bCs/>
                <w:color w:val="000000"/>
                <w:szCs w:val="21"/>
              </w:rPr>
              <w:t>指标值</w:t>
            </w:r>
          </w:p>
        </w:tc>
        <w:tc>
          <w:tcPr>
            <w:tcW w:w="401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s="楷体"/>
                <w:b/>
                <w:bCs/>
                <w:color w:val="000000"/>
                <w:szCs w:val="21"/>
              </w:rPr>
            </w:pPr>
            <w:r>
              <w:rPr>
                <w:rFonts w:hint="eastAsia" w:ascii="仿宋_GB2312" w:eastAsia="仿宋_GB2312" w:cs="楷体"/>
                <w:b/>
                <w:bCs/>
                <w:color w:val="000000"/>
                <w:szCs w:val="21"/>
              </w:rPr>
              <w:t>评分标准</w:t>
            </w:r>
          </w:p>
        </w:tc>
        <w:tc>
          <w:tcPr>
            <w:tcW w:w="520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s="楷体"/>
                <w:b/>
                <w:bCs/>
                <w:color w:val="000000"/>
                <w:szCs w:val="21"/>
              </w:rPr>
            </w:pPr>
            <w:r>
              <w:rPr>
                <w:rFonts w:hint="eastAsia" w:ascii="仿宋_GB2312" w:eastAsia="仿宋_GB2312" w:cs="楷体"/>
                <w:b/>
                <w:bCs/>
                <w:color w:val="000000"/>
                <w:szCs w:val="21"/>
              </w:rPr>
              <w:t>评分过程</w:t>
            </w:r>
          </w:p>
        </w:tc>
        <w:tc>
          <w:tcPr>
            <w:tcW w:w="81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s="楷体"/>
                <w:b/>
                <w:bCs/>
                <w:color w:val="000000"/>
                <w:szCs w:val="21"/>
              </w:rPr>
            </w:pPr>
            <w:r>
              <w:rPr>
                <w:rFonts w:hint="eastAsia" w:ascii="仿宋_GB2312" w:eastAsia="仿宋_GB2312" w:cs="楷体"/>
                <w:b/>
                <w:bCs/>
                <w:color w:val="000000"/>
                <w:szCs w:val="21"/>
              </w:rPr>
              <w:t>分值</w:t>
            </w:r>
          </w:p>
        </w:tc>
        <w:tc>
          <w:tcPr>
            <w:tcW w:w="78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s="楷体"/>
                <w:b/>
                <w:bCs/>
                <w:color w:val="000000"/>
                <w:szCs w:val="21"/>
              </w:rPr>
            </w:pPr>
            <w:r>
              <w:rPr>
                <w:rFonts w:hint="eastAsia" w:ascii="仿宋_GB2312" w:eastAsia="仿宋_GB2312" w:cs="楷体"/>
                <w:b/>
                <w:bCs/>
                <w:color w:val="000000"/>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jc w:val="center"/>
        </w:trPr>
        <w:tc>
          <w:tcPr>
            <w:tcW w:w="1097" w:type="dxa"/>
            <w:tcBorders>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t>项目决策</w:t>
            </w:r>
          </w:p>
        </w:tc>
        <w:tc>
          <w:tcPr>
            <w:tcW w:w="1180" w:type="dxa"/>
            <w:tcBorders>
              <w:top w:val="nil"/>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t>项目目标</w:t>
            </w:r>
          </w:p>
        </w:tc>
        <w:tc>
          <w:tcPr>
            <w:tcW w:w="15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目标内容</w:t>
            </w:r>
          </w:p>
        </w:tc>
        <w:tc>
          <w:tcPr>
            <w:tcW w:w="9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明晰</w:t>
            </w:r>
          </w:p>
        </w:tc>
        <w:tc>
          <w:tcPr>
            <w:tcW w:w="4018"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p>
          <w:p>
            <w:pPr>
              <w:spacing w:line="240" w:lineRule="exact"/>
              <w:jc w:val="left"/>
              <w:rPr>
                <w:rFonts w:ascii="仿宋_GB2312" w:eastAsia="仿宋_GB2312" w:cs="楷体"/>
                <w:szCs w:val="21"/>
              </w:rPr>
            </w:pPr>
            <w:r>
              <w:rPr>
                <w:rFonts w:hint="eastAsia" w:ascii="仿宋_GB2312" w:eastAsia="仿宋_GB2312" w:cs="楷体"/>
                <w:szCs w:val="21"/>
              </w:rPr>
              <w:t>设有项目目标（1分）、项目目标明确（1分）、项目目标细化（1分），项目目标量化（1分）</w:t>
            </w:r>
          </w:p>
        </w:tc>
        <w:tc>
          <w:tcPr>
            <w:tcW w:w="5203"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r>
              <w:rPr>
                <w:rFonts w:hint="eastAsia" w:ascii="仿宋_GB2312" w:eastAsia="仿宋_GB2312" w:cs="楷体"/>
                <w:szCs w:val="21"/>
              </w:rPr>
              <w:t>有绩效目标且目标明确；目标细化，目标量化不足扣1分，得3分。</w:t>
            </w:r>
          </w:p>
        </w:tc>
        <w:tc>
          <w:tcPr>
            <w:tcW w:w="81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4</w:t>
            </w:r>
          </w:p>
        </w:tc>
        <w:tc>
          <w:tcPr>
            <w:tcW w:w="786" w:type="dxa"/>
            <w:tcBorders>
              <w:top w:val="nil"/>
              <w:left w:val="nil"/>
              <w:bottom w:val="single" w:color="auto" w:sz="4" w:space="0"/>
              <w:right w:val="single" w:color="auto" w:sz="4" w:space="0"/>
            </w:tcBorders>
            <w:shd w:val="clear" w:color="auto" w:fill="auto"/>
            <w:vAlign w:val="center"/>
          </w:tcPr>
          <w:p>
            <w:pPr>
              <w:spacing w:line="240" w:lineRule="exact"/>
              <w:ind w:firstLine="210" w:firstLineChars="100"/>
              <w:rPr>
                <w:rFonts w:ascii="仿宋_GB2312" w:eastAsia="仿宋_GB2312" w:cs="楷体"/>
                <w:szCs w:val="21"/>
              </w:rPr>
            </w:pPr>
            <w:r>
              <w:rPr>
                <w:rFonts w:hint="eastAsia" w:ascii="仿宋_GB2312" w:eastAsia="仿宋_GB2312" w:cs="楷体"/>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t>项目管理</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项目管理</w:t>
            </w:r>
          </w:p>
        </w:tc>
        <w:tc>
          <w:tcPr>
            <w:tcW w:w="15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项目管理制度</w:t>
            </w:r>
          </w:p>
        </w:tc>
        <w:tc>
          <w:tcPr>
            <w:tcW w:w="9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健全</w:t>
            </w:r>
          </w:p>
          <w:p>
            <w:pPr>
              <w:spacing w:line="240" w:lineRule="exact"/>
              <w:jc w:val="center"/>
              <w:rPr>
                <w:rFonts w:ascii="仿宋_GB2312" w:eastAsia="仿宋_GB2312" w:cs="楷体"/>
                <w:szCs w:val="21"/>
              </w:rPr>
            </w:pPr>
            <w:r>
              <w:rPr>
                <w:rFonts w:hint="eastAsia" w:ascii="仿宋_GB2312" w:eastAsia="仿宋_GB2312" w:cs="楷体"/>
                <w:szCs w:val="21"/>
              </w:rPr>
              <w:t>有效</w:t>
            </w:r>
          </w:p>
        </w:tc>
        <w:tc>
          <w:tcPr>
            <w:tcW w:w="4018"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p>
          <w:p>
            <w:pPr>
              <w:spacing w:line="240" w:lineRule="exact"/>
              <w:jc w:val="left"/>
              <w:rPr>
                <w:rFonts w:ascii="仿宋_GB2312" w:eastAsia="仿宋_GB2312" w:cs="楷体"/>
                <w:szCs w:val="21"/>
              </w:rPr>
            </w:pPr>
            <w:r>
              <w:rPr>
                <w:rFonts w:hint="eastAsia" w:ascii="仿宋_GB2312" w:eastAsia="仿宋_GB2312" w:cs="楷体"/>
                <w:szCs w:val="21"/>
              </w:rPr>
              <w:t>项目管理流程制度是否制定（2分），严格执行相关管理制度（2分）</w:t>
            </w:r>
          </w:p>
        </w:tc>
        <w:tc>
          <w:tcPr>
            <w:tcW w:w="520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管理制度健全；严格执行相关管理制度，得4分</w:t>
            </w:r>
          </w:p>
        </w:tc>
        <w:tc>
          <w:tcPr>
            <w:tcW w:w="81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4</w:t>
            </w:r>
          </w:p>
        </w:tc>
        <w:tc>
          <w:tcPr>
            <w:tcW w:w="78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项目管理实施</w:t>
            </w:r>
          </w:p>
        </w:tc>
        <w:tc>
          <w:tcPr>
            <w:tcW w:w="9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健全</w:t>
            </w:r>
          </w:p>
        </w:tc>
        <w:tc>
          <w:tcPr>
            <w:tcW w:w="4018"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p>
          <w:p>
            <w:pPr>
              <w:spacing w:line="240" w:lineRule="exact"/>
              <w:jc w:val="left"/>
              <w:rPr>
                <w:rFonts w:ascii="仿宋_GB2312" w:eastAsia="仿宋_GB2312" w:cs="楷体"/>
                <w:szCs w:val="21"/>
              </w:rPr>
            </w:pPr>
            <w:r>
              <w:rPr>
                <w:rFonts w:hint="eastAsia" w:ascii="仿宋_GB2312" w:eastAsia="仿宋_GB2312" w:cs="楷体"/>
                <w:szCs w:val="21"/>
              </w:rPr>
              <w:t>项目按计划实施（2分），项目按计划完成（2分）</w:t>
            </w:r>
          </w:p>
        </w:tc>
        <w:tc>
          <w:tcPr>
            <w:tcW w:w="520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按计划实施并完成工作任务,得4分</w:t>
            </w:r>
          </w:p>
        </w:tc>
        <w:tc>
          <w:tcPr>
            <w:tcW w:w="81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4</w:t>
            </w:r>
          </w:p>
        </w:tc>
        <w:tc>
          <w:tcPr>
            <w:tcW w:w="78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资金落实</w:t>
            </w:r>
          </w:p>
        </w:tc>
        <w:tc>
          <w:tcPr>
            <w:tcW w:w="15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资金到位</w:t>
            </w:r>
          </w:p>
        </w:tc>
        <w:tc>
          <w:tcPr>
            <w:tcW w:w="9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100%</w:t>
            </w:r>
          </w:p>
        </w:tc>
        <w:tc>
          <w:tcPr>
            <w:tcW w:w="4018"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p>
          <w:p>
            <w:pPr>
              <w:spacing w:line="240" w:lineRule="exact"/>
              <w:jc w:val="left"/>
              <w:rPr>
                <w:rFonts w:ascii="仿宋_GB2312" w:eastAsia="仿宋_GB2312" w:cs="楷体"/>
                <w:szCs w:val="21"/>
              </w:rPr>
            </w:pPr>
            <w:r>
              <w:rPr>
                <w:rFonts w:hint="eastAsia" w:ascii="仿宋_GB2312" w:eastAsia="仿宋_GB2312" w:cs="楷体"/>
                <w:szCs w:val="21"/>
              </w:rPr>
              <w:t>省、市财政资金及时到达区级（1分）、</w:t>
            </w:r>
          </w:p>
          <w:p>
            <w:pPr>
              <w:spacing w:line="240" w:lineRule="exact"/>
              <w:jc w:val="left"/>
              <w:rPr>
                <w:rFonts w:ascii="仿宋_GB2312" w:eastAsia="仿宋_GB2312" w:cs="楷体"/>
                <w:szCs w:val="21"/>
              </w:rPr>
            </w:pPr>
            <w:r>
              <w:rPr>
                <w:rFonts w:hint="eastAsia" w:ascii="仿宋_GB2312" w:eastAsia="仿宋_GB2312" w:cs="楷体"/>
                <w:szCs w:val="21"/>
              </w:rPr>
              <w:t>区级配套资金及时到位（1分）</w:t>
            </w:r>
          </w:p>
        </w:tc>
        <w:tc>
          <w:tcPr>
            <w:tcW w:w="520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p>
          <w:p>
            <w:pPr>
              <w:spacing w:line="240" w:lineRule="exact"/>
              <w:jc w:val="center"/>
              <w:rPr>
                <w:rFonts w:ascii="仿宋_GB2312" w:eastAsia="仿宋_GB2312" w:cs="楷体"/>
                <w:szCs w:val="21"/>
              </w:rPr>
            </w:pPr>
            <w:r>
              <w:rPr>
                <w:rFonts w:hint="eastAsia" w:ascii="仿宋_GB2312" w:eastAsia="仿宋_GB2312" w:cs="楷体"/>
                <w:szCs w:val="21"/>
              </w:rPr>
              <w:t>根据矫正资金的实际分配到位率计算得分，实际到位/计划到位=100%,得2分</w:t>
            </w:r>
          </w:p>
        </w:tc>
        <w:tc>
          <w:tcPr>
            <w:tcW w:w="81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2</w:t>
            </w:r>
          </w:p>
        </w:tc>
        <w:tc>
          <w:tcPr>
            <w:tcW w:w="78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资金分配</w:t>
            </w:r>
          </w:p>
        </w:tc>
        <w:tc>
          <w:tcPr>
            <w:tcW w:w="15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分配程序</w:t>
            </w:r>
          </w:p>
        </w:tc>
        <w:tc>
          <w:tcPr>
            <w:tcW w:w="9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合理</w:t>
            </w:r>
          </w:p>
        </w:tc>
        <w:tc>
          <w:tcPr>
            <w:tcW w:w="4018"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p>
          <w:p>
            <w:pPr>
              <w:spacing w:line="240" w:lineRule="exact"/>
              <w:jc w:val="left"/>
              <w:rPr>
                <w:rFonts w:ascii="仿宋_GB2312" w:eastAsia="仿宋_GB2312" w:cs="楷体"/>
                <w:szCs w:val="21"/>
              </w:rPr>
            </w:pPr>
            <w:r>
              <w:rPr>
                <w:rFonts w:hint="eastAsia" w:ascii="仿宋_GB2312" w:eastAsia="仿宋_GB2312" w:cs="楷体"/>
                <w:szCs w:val="21"/>
              </w:rPr>
              <w:t>资金分配范围是否充分合理（1分），分配方式是否充分合理（1分），与绩效目标有达成是否具有直接关联(1分)。</w:t>
            </w:r>
          </w:p>
        </w:tc>
        <w:tc>
          <w:tcPr>
            <w:tcW w:w="520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分配各区资金范围充分合理；分配方式充分合理；与绩效目标达成具有直接关联,得3分</w:t>
            </w:r>
          </w:p>
        </w:tc>
        <w:tc>
          <w:tcPr>
            <w:tcW w:w="81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3</w:t>
            </w:r>
          </w:p>
        </w:tc>
        <w:tc>
          <w:tcPr>
            <w:tcW w:w="78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财务管理</w:t>
            </w: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财务管理制度</w:t>
            </w:r>
          </w:p>
        </w:tc>
        <w:tc>
          <w:tcPr>
            <w:tcW w:w="9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健全</w:t>
            </w:r>
          </w:p>
        </w:tc>
        <w:tc>
          <w:tcPr>
            <w:tcW w:w="4018"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p>
          <w:p>
            <w:pPr>
              <w:spacing w:line="240" w:lineRule="exact"/>
              <w:jc w:val="left"/>
              <w:rPr>
                <w:rFonts w:ascii="仿宋_GB2312" w:eastAsia="仿宋_GB2312" w:cs="楷体"/>
                <w:szCs w:val="21"/>
              </w:rPr>
            </w:pPr>
            <w:r>
              <w:rPr>
                <w:rFonts w:hint="eastAsia" w:ascii="仿宋_GB2312" w:eastAsia="仿宋_GB2312" w:cs="楷体"/>
                <w:szCs w:val="21"/>
              </w:rPr>
              <w:t>制定专项资金管理制度或有适用于本项目的财务管理制度（2分）</w:t>
            </w:r>
          </w:p>
          <w:p>
            <w:pPr>
              <w:spacing w:line="240" w:lineRule="exact"/>
              <w:jc w:val="center"/>
              <w:rPr>
                <w:rFonts w:ascii="仿宋_GB2312" w:eastAsia="仿宋_GB2312" w:cs="楷体"/>
                <w:szCs w:val="21"/>
              </w:rPr>
            </w:pPr>
          </w:p>
        </w:tc>
        <w:tc>
          <w:tcPr>
            <w:tcW w:w="5203"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市级有专项资金管理办法，部分区及以下未制定资金管理办法，扣1分，得1分</w:t>
            </w:r>
          </w:p>
        </w:tc>
        <w:tc>
          <w:tcPr>
            <w:tcW w:w="81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2</w:t>
            </w:r>
          </w:p>
        </w:tc>
        <w:tc>
          <w:tcPr>
            <w:tcW w:w="78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180" w:type="dxa"/>
            <w:vMerge w:val="continue"/>
            <w:tcBorders>
              <w:top w:val="single" w:color="auto" w:sz="4" w:space="0"/>
              <w:left w:val="nil"/>
              <w:bottom w:val="single" w:color="auto" w:sz="4" w:space="0"/>
              <w:right w:val="single" w:color="auto" w:sz="4" w:space="0"/>
            </w:tcBorders>
            <w:shd w:val="clear" w:color="auto" w:fill="auto"/>
            <w:vAlign w:val="center"/>
          </w:tcP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资金使用</w:t>
            </w:r>
          </w:p>
        </w:tc>
        <w:tc>
          <w:tcPr>
            <w:tcW w:w="9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合规</w:t>
            </w:r>
          </w:p>
        </w:tc>
        <w:tc>
          <w:tcPr>
            <w:tcW w:w="4018"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p>
          <w:p>
            <w:pPr>
              <w:spacing w:line="240" w:lineRule="exact"/>
              <w:jc w:val="center"/>
              <w:rPr>
                <w:rFonts w:ascii="仿宋_GB2312" w:eastAsia="仿宋_GB2312" w:cs="楷体"/>
                <w:szCs w:val="21"/>
              </w:rPr>
            </w:pPr>
            <w:r>
              <w:rPr>
                <w:rFonts w:hint="eastAsia" w:ascii="仿宋_GB2312" w:eastAsia="仿宋_GB2312" w:cs="楷体"/>
                <w:szCs w:val="21"/>
              </w:rPr>
              <w:t>资金使用合规（1分），无截留挤占挪用情况（1分），无超标准开支情况（1分）。</w:t>
            </w:r>
          </w:p>
        </w:tc>
        <w:tc>
          <w:tcPr>
            <w:tcW w:w="5203" w:type="dxa"/>
            <w:tcBorders>
              <w:top w:val="nil"/>
              <w:left w:val="nil"/>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r>
              <w:rPr>
                <w:rFonts w:hint="eastAsia" w:ascii="仿宋_GB2312" w:eastAsia="仿宋_GB2312" w:cs="楷体"/>
                <w:szCs w:val="21"/>
              </w:rPr>
              <w:t>各区遵循专项资金使用管理制度，区级以下资金使用合规，无截留挤占挪用情况，个别区因资金到账时间较迟未及时使用，部分区矫正资金配比不够合理，人员工资占总额90%以上，扣1分，得2分</w:t>
            </w:r>
          </w:p>
        </w:tc>
        <w:tc>
          <w:tcPr>
            <w:tcW w:w="81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3</w:t>
            </w:r>
          </w:p>
        </w:tc>
        <w:tc>
          <w:tcPr>
            <w:tcW w:w="78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09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组织实施</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210" w:firstLineChars="100"/>
              <w:rPr>
                <w:rFonts w:ascii="仿宋_GB2312" w:eastAsia="仿宋_GB2312" w:cs="楷体"/>
                <w:szCs w:val="21"/>
              </w:rPr>
            </w:pPr>
            <w:r>
              <w:rPr>
                <w:rFonts w:hint="eastAsia" w:ascii="仿宋_GB2312" w:eastAsia="仿宋_GB2312" w:cs="楷体"/>
                <w:szCs w:val="21"/>
              </w:rPr>
              <w:t>组织构架</w:t>
            </w:r>
          </w:p>
        </w:tc>
        <w:tc>
          <w:tcPr>
            <w:tcW w:w="92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健全</w:t>
            </w:r>
          </w:p>
        </w:tc>
        <w:tc>
          <w:tcPr>
            <w:tcW w:w="4018"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p>
          <w:p>
            <w:pPr>
              <w:spacing w:line="240" w:lineRule="exact"/>
              <w:jc w:val="left"/>
              <w:rPr>
                <w:rFonts w:ascii="仿宋_GB2312" w:eastAsia="仿宋_GB2312" w:cs="楷体"/>
                <w:szCs w:val="21"/>
              </w:rPr>
            </w:pPr>
            <w:r>
              <w:rPr>
                <w:rFonts w:hint="eastAsia" w:ascii="仿宋_GB2312" w:eastAsia="仿宋_GB2312" w:cs="楷体"/>
                <w:szCs w:val="21"/>
              </w:rPr>
              <w:t>机构健全（1分）、分工明确（1分）</w:t>
            </w:r>
          </w:p>
          <w:p>
            <w:pPr>
              <w:spacing w:line="240" w:lineRule="exact"/>
              <w:jc w:val="center"/>
              <w:rPr>
                <w:rFonts w:ascii="仿宋_GB2312" w:eastAsia="仿宋_GB2312" w:cs="楷体"/>
                <w:szCs w:val="21"/>
              </w:rPr>
            </w:pPr>
          </w:p>
        </w:tc>
        <w:tc>
          <w:tcPr>
            <w:tcW w:w="5203" w:type="dxa"/>
            <w:tcBorders>
              <w:top w:val="nil"/>
              <w:left w:val="nil"/>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t>组织机构健全、权责及分工明确，得2分</w:t>
            </w:r>
          </w:p>
        </w:tc>
        <w:tc>
          <w:tcPr>
            <w:tcW w:w="81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2</w:t>
            </w:r>
          </w:p>
        </w:tc>
        <w:tc>
          <w:tcPr>
            <w:tcW w:w="78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cs="楷体"/>
                <w:szCs w:val="21"/>
              </w:rPr>
            </w:pPr>
          </w:p>
          <w:p>
            <w:pPr>
              <w:spacing w:line="240" w:lineRule="exact"/>
              <w:rPr>
                <w:rFonts w:ascii="仿宋_GB2312" w:eastAsia="仿宋_GB2312" w:cs="楷体"/>
                <w:szCs w:val="21"/>
              </w:rPr>
            </w:pPr>
          </w:p>
          <w:p>
            <w:pPr>
              <w:spacing w:line="240" w:lineRule="exact"/>
              <w:rPr>
                <w:rFonts w:ascii="仿宋_GB2312" w:eastAsia="仿宋_GB2312" w:cs="楷体"/>
                <w:szCs w:val="21"/>
              </w:rPr>
            </w:pPr>
            <w:r>
              <w:rPr>
                <w:rFonts w:hint="eastAsia" w:ascii="仿宋_GB2312" w:eastAsia="仿宋_GB2312" w:cs="楷体"/>
                <w:szCs w:val="21"/>
              </w:rPr>
              <w:t>项目绩效</w:t>
            </w:r>
          </w:p>
          <w:p>
            <w:pPr>
              <w:spacing w:line="240" w:lineRule="exact"/>
              <w:rPr>
                <w:rFonts w:ascii="仿宋_GB2312" w:eastAsia="仿宋_GB2312" w:cs="楷体"/>
                <w:szCs w:val="21"/>
              </w:rPr>
            </w:pP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项目产出</w:t>
            </w: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完成稳控工作</w:t>
            </w:r>
          </w:p>
        </w:tc>
        <w:tc>
          <w:tcPr>
            <w:tcW w:w="9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100%</w:t>
            </w:r>
          </w:p>
        </w:tc>
        <w:tc>
          <w:tcPr>
            <w:tcW w:w="4018"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推进各区乡镇街道成立社区矫正委员会，落实工作内容，按照项目产出情况与计划产出数酌情得分（4分）</w:t>
            </w:r>
          </w:p>
        </w:tc>
        <w:tc>
          <w:tcPr>
            <w:tcW w:w="5203" w:type="dxa"/>
            <w:tcBorders>
              <w:top w:val="single" w:color="auto" w:sz="4" w:space="0"/>
              <w:left w:val="nil"/>
              <w:bottom w:val="single" w:color="auto" w:sz="4" w:space="0"/>
              <w:right w:val="single" w:color="auto" w:sz="4" w:space="0"/>
            </w:tcBorders>
            <w:shd w:val="clear" w:color="auto" w:fill="auto"/>
            <w:vAlign w:val="center"/>
          </w:tcPr>
          <w:p>
            <w:pPr>
              <w:pStyle w:val="5"/>
              <w:spacing w:line="240" w:lineRule="exact"/>
              <w:rPr>
                <w:rFonts w:ascii="仿宋_GB2312" w:eastAsia="仿宋_GB2312" w:cs="楷体"/>
                <w:sz w:val="21"/>
                <w:szCs w:val="21"/>
              </w:rPr>
            </w:pPr>
            <w:r>
              <w:rPr>
                <w:rFonts w:hint="eastAsia" w:ascii="仿宋_GB2312" w:eastAsia="仿宋_GB2312" w:cs="楷体"/>
                <w:sz w:val="21"/>
                <w:szCs w:val="21"/>
              </w:rPr>
              <w:t>各区严格落实完成稳控工作，得4分</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4</w:t>
            </w:r>
          </w:p>
        </w:tc>
        <w:tc>
          <w:tcPr>
            <w:tcW w:w="78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1097" w:type="dxa"/>
            <w:vMerge w:val="continue"/>
            <w:tcBorders>
              <w:top w:val="single" w:color="auto" w:sz="4" w:space="0"/>
              <w:left w:val="single" w:color="auto" w:sz="4" w:space="0"/>
              <w:bottom w:val="single" w:color="auto" w:sz="4" w:space="0"/>
              <w:right w:val="single" w:color="auto" w:sz="4" w:space="0"/>
            </w:tcBorders>
            <w:vAlign w:val="center"/>
          </w:tcPr>
          <w:p/>
        </w:tc>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隐患排查</w:t>
            </w:r>
          </w:p>
        </w:tc>
        <w:tc>
          <w:tcPr>
            <w:tcW w:w="9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100%</w:t>
            </w:r>
          </w:p>
        </w:tc>
        <w:tc>
          <w:tcPr>
            <w:tcW w:w="4018"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r>
              <w:rPr>
                <w:rFonts w:hint="eastAsia" w:ascii="仿宋_GB2312" w:eastAsia="仿宋_GB2312" w:cs="楷体"/>
                <w:szCs w:val="21"/>
              </w:rPr>
              <w:t>①强化社矫对象重点人员排查，筛选出重点人员（3分）；②进行风险隐患研判，分析原因，落实风险管控责任（3分）；</w:t>
            </w:r>
          </w:p>
          <w:p>
            <w:pPr>
              <w:spacing w:line="240" w:lineRule="exact"/>
              <w:rPr>
                <w:rFonts w:ascii="仿宋_GB2312" w:eastAsia="仿宋_GB2312" w:cs="楷体"/>
                <w:szCs w:val="21"/>
              </w:rPr>
            </w:pPr>
          </w:p>
        </w:tc>
        <w:tc>
          <w:tcPr>
            <w:tcW w:w="520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r>
              <w:rPr>
                <w:rFonts w:hint="eastAsia" w:ascii="仿宋_GB2312" w:eastAsia="仿宋_GB2312" w:cs="楷体"/>
                <w:szCs w:val="21"/>
              </w:rPr>
              <w:t>排查重点对象，核对监控信息，提供研判记录，落实管控方案，得6分</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6</w:t>
            </w:r>
          </w:p>
        </w:tc>
        <w:tc>
          <w:tcPr>
            <w:tcW w:w="78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1097" w:type="dxa"/>
            <w:vMerge w:val="continue"/>
            <w:tcBorders>
              <w:top w:val="single" w:color="auto" w:sz="4" w:space="0"/>
              <w:left w:val="single" w:color="auto" w:sz="4" w:space="0"/>
              <w:bottom w:val="single" w:color="auto" w:sz="4" w:space="0"/>
              <w:right w:val="single" w:color="auto" w:sz="4" w:space="0"/>
            </w:tcBorders>
            <w:vAlign w:val="center"/>
          </w:tcPr>
          <w:p/>
        </w:tc>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完成安保工作</w:t>
            </w:r>
          </w:p>
        </w:tc>
        <w:tc>
          <w:tcPr>
            <w:tcW w:w="9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100%</w:t>
            </w:r>
          </w:p>
        </w:tc>
        <w:tc>
          <w:tcPr>
            <w:tcW w:w="4018"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①全力护航重大节日、重大会议，严密组织、严密部署（2分）；②管控到位、督查到位（2分）；③确保期间社矫帮扶对象管控到位，抓实抓好远程视频会见工作（2分）。</w:t>
            </w:r>
          </w:p>
        </w:tc>
        <w:tc>
          <w:tcPr>
            <w:tcW w:w="520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r>
              <w:rPr>
                <w:rFonts w:hint="eastAsia" w:ascii="仿宋_GB2312" w:eastAsia="仿宋_GB2312" w:cs="楷体"/>
                <w:szCs w:val="21"/>
              </w:rPr>
              <w:t>完成点敏感节安保工作，每日定位，每周汇报等措施，得6分</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6</w:t>
            </w:r>
          </w:p>
        </w:tc>
        <w:tc>
          <w:tcPr>
            <w:tcW w:w="78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1097" w:type="dxa"/>
            <w:vMerge w:val="continue"/>
            <w:tcBorders>
              <w:top w:val="single" w:color="auto" w:sz="4" w:space="0"/>
              <w:left w:val="single" w:color="auto" w:sz="4" w:space="0"/>
              <w:bottom w:val="single" w:color="auto" w:sz="4" w:space="0"/>
              <w:right w:val="single" w:color="auto" w:sz="4" w:space="0"/>
            </w:tcBorders>
            <w:vAlign w:val="center"/>
          </w:tcPr>
          <w:p/>
        </w:tc>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重点人员监管</w:t>
            </w:r>
          </w:p>
        </w:tc>
        <w:tc>
          <w:tcPr>
            <w:tcW w:w="9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100%</w:t>
            </w:r>
          </w:p>
        </w:tc>
        <w:tc>
          <w:tcPr>
            <w:tcW w:w="4018"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t>①落实重点社区矫正对象矫正方案（2分）；②加强社区矫正对象请销假管理（2分）；③联合街道综治办、社区（村）对重点对象走访（4分）。</w:t>
            </w:r>
          </w:p>
        </w:tc>
        <w:tc>
          <w:tcPr>
            <w:tcW w:w="5203"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t>监管措施落实，有工作台账、方案齐全、1人1档。得8分</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8</w:t>
            </w:r>
          </w:p>
        </w:tc>
        <w:tc>
          <w:tcPr>
            <w:tcW w:w="78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1097" w:type="dxa"/>
            <w:vMerge w:val="continue"/>
            <w:tcBorders>
              <w:top w:val="single" w:color="auto" w:sz="4" w:space="0"/>
              <w:left w:val="single" w:color="auto" w:sz="4" w:space="0"/>
              <w:bottom w:val="single" w:color="auto" w:sz="4" w:space="0"/>
              <w:right w:val="single" w:color="auto" w:sz="4" w:space="0"/>
            </w:tcBorders>
            <w:vAlign w:val="center"/>
          </w:tcPr>
          <w:p/>
        </w:tc>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帮扶困难矫正对象</w:t>
            </w:r>
          </w:p>
        </w:tc>
        <w:tc>
          <w:tcPr>
            <w:tcW w:w="9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100%</w:t>
            </w:r>
          </w:p>
        </w:tc>
        <w:tc>
          <w:tcPr>
            <w:tcW w:w="4018"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r>
              <w:rPr>
                <w:rFonts w:hint="eastAsia" w:ascii="仿宋_GB2312" w:eastAsia="仿宋_GB2312" w:cs="楷体"/>
                <w:szCs w:val="21"/>
              </w:rPr>
              <w:t>①积极争取相关部门支持（2分）；②采取多种形式有条件、适当给予救助帮扶（2分）；</w:t>
            </w:r>
          </w:p>
        </w:tc>
        <w:tc>
          <w:tcPr>
            <w:tcW w:w="520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r>
              <w:rPr>
                <w:rFonts w:hint="eastAsia" w:ascii="仿宋_GB2312" w:eastAsia="仿宋_GB2312" w:cs="楷体"/>
                <w:szCs w:val="21"/>
              </w:rPr>
              <w:t>提供帮扶记录，如教育、培训、心理咨询、就业咨询等，每月大于两次的教育学习培训及思想汇报，得4分</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4</w:t>
            </w:r>
          </w:p>
        </w:tc>
        <w:tc>
          <w:tcPr>
            <w:tcW w:w="78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1097" w:type="dxa"/>
            <w:vMerge w:val="continue"/>
            <w:tcBorders>
              <w:top w:val="single" w:color="auto" w:sz="4" w:space="0"/>
              <w:left w:val="single" w:color="auto" w:sz="4" w:space="0"/>
              <w:bottom w:val="single" w:color="auto" w:sz="4" w:space="0"/>
              <w:right w:val="single" w:color="auto" w:sz="4" w:space="0"/>
            </w:tcBorders>
            <w:vAlign w:val="center"/>
          </w:tcP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t>社会效益</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脱管漏管（在逃）率</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highlight w:val="yellow"/>
              </w:rPr>
            </w:pPr>
            <w:r>
              <w:rPr>
                <w:rFonts w:hint="eastAsia" w:ascii="仿宋_GB2312" w:eastAsia="仿宋_GB2312" w:cs="楷体"/>
                <w:szCs w:val="21"/>
              </w:rPr>
              <w:t>0</w:t>
            </w: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t>当年无新增脱管漏管（在逃）社区矫正对象(6分);当年有因管理责任引起的新增脱管漏管（在逃）社区矫正对象，未找到（未追回）的(1起扣6分)；已找到（已追回）的(1起扣3分)，扣完为止。</w:t>
            </w:r>
          </w:p>
        </w:tc>
        <w:tc>
          <w:tcPr>
            <w:tcW w:w="52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r>
              <w:rPr>
                <w:rFonts w:hint="eastAsia" w:ascii="仿宋_GB2312" w:eastAsia="仿宋_GB2312" w:cs="楷体"/>
                <w:szCs w:val="21"/>
              </w:rPr>
              <w:t>保障民众人身权、维护民众的财产权益，维护民众的生活秩序,脱管漏管（在逃）率为0,得6分</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6</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1097" w:type="dxa"/>
            <w:vMerge w:val="continue"/>
            <w:tcBorders>
              <w:top w:val="single" w:color="auto" w:sz="4" w:space="0"/>
              <w:left w:val="single" w:color="auto" w:sz="4" w:space="0"/>
              <w:bottom w:val="single" w:color="auto" w:sz="4" w:space="0"/>
              <w:right w:val="single" w:color="auto" w:sz="4" w:space="0"/>
            </w:tcBorders>
            <w:vAlign w:val="center"/>
          </w:tcPr>
          <w:p/>
        </w:tc>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社区矫正工作人员规范执法</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0</w:t>
            </w: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fldChar w:fldCharType="begin"/>
            </w:r>
            <w:r>
              <w:rPr>
                <w:rFonts w:hint="eastAsia" w:ascii="仿宋_GB2312" w:eastAsia="仿宋_GB2312" w:cs="楷体"/>
                <w:szCs w:val="21"/>
              </w:rPr>
              <w:instrText xml:space="preserve"> = 1 \* GB3 \* MERGEFORMAT </w:instrText>
            </w:r>
            <w:r>
              <w:rPr>
                <w:rFonts w:hint="eastAsia" w:ascii="仿宋_GB2312" w:eastAsia="仿宋_GB2312" w:cs="楷体"/>
                <w:szCs w:val="21"/>
              </w:rPr>
              <w:fldChar w:fldCharType="separate"/>
            </w:r>
            <w:r>
              <w:rPr>
                <w:rFonts w:hint="eastAsia" w:ascii="仿宋_GB2312" w:eastAsia="仿宋_GB2312" w:cs="楷体"/>
                <w:szCs w:val="21"/>
              </w:rPr>
              <w:t>①</w:t>
            </w:r>
            <w:r>
              <w:rPr>
                <w:rFonts w:hint="eastAsia" w:ascii="仿宋_GB2312" w:eastAsia="仿宋_GB2312" w:cs="楷体"/>
                <w:szCs w:val="21"/>
              </w:rPr>
              <w:fldChar w:fldCharType="end"/>
            </w:r>
            <w:r>
              <w:rPr>
                <w:rFonts w:hint="eastAsia" w:ascii="仿宋_GB2312" w:eastAsia="仿宋_GB2312" w:cs="楷体"/>
                <w:szCs w:val="21"/>
              </w:rPr>
              <w:t>当年没有收到或者没有经核实确认存在执法不规范等的检察机关“两书”(6分)。</w:t>
            </w:r>
            <w:r>
              <w:rPr>
                <w:rFonts w:hint="eastAsia" w:ascii="仿宋_GB2312" w:eastAsia="仿宋_GB2312" w:cs="楷体"/>
                <w:szCs w:val="21"/>
              </w:rPr>
              <w:fldChar w:fldCharType="begin"/>
            </w:r>
            <w:r>
              <w:rPr>
                <w:rFonts w:hint="eastAsia" w:ascii="仿宋_GB2312" w:eastAsia="仿宋_GB2312" w:cs="楷体"/>
                <w:szCs w:val="21"/>
              </w:rPr>
              <w:instrText xml:space="preserve"> = 2 \* GB3 \* MERGEFORMAT </w:instrText>
            </w:r>
            <w:r>
              <w:rPr>
                <w:rFonts w:hint="eastAsia" w:ascii="仿宋_GB2312" w:eastAsia="仿宋_GB2312" w:cs="楷体"/>
                <w:szCs w:val="21"/>
              </w:rPr>
              <w:fldChar w:fldCharType="separate"/>
            </w:r>
            <w:r>
              <w:rPr>
                <w:rFonts w:hint="eastAsia" w:ascii="仿宋_GB2312" w:eastAsia="仿宋_GB2312" w:cs="楷体"/>
                <w:szCs w:val="21"/>
              </w:rPr>
              <w:t>②</w:t>
            </w:r>
            <w:r>
              <w:rPr>
                <w:rFonts w:hint="eastAsia" w:ascii="仿宋_GB2312" w:eastAsia="仿宋_GB2312" w:cs="楷体"/>
                <w:szCs w:val="21"/>
              </w:rPr>
              <w:fldChar w:fldCharType="end"/>
            </w:r>
            <w:r>
              <w:rPr>
                <w:rFonts w:hint="eastAsia" w:ascii="仿宋_GB2312" w:eastAsia="仿宋_GB2312" w:cs="楷体"/>
                <w:szCs w:val="21"/>
              </w:rPr>
              <w:t>收到经核实确认的，1件纠正违法通知书扣2分，1件检察建议书扣2分，扣完为止。</w:t>
            </w:r>
          </w:p>
        </w:tc>
        <w:tc>
          <w:tcPr>
            <w:tcW w:w="52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r>
              <w:rPr>
                <w:rFonts w:hint="eastAsia" w:ascii="仿宋_GB2312" w:eastAsia="仿宋_GB2312" w:cs="楷体"/>
                <w:szCs w:val="21"/>
              </w:rPr>
              <w:t>社区矫正工作人员执法规范，未发生执法违规情况，得6分</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6</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1097" w:type="dxa"/>
            <w:vMerge w:val="continue"/>
            <w:tcBorders>
              <w:top w:val="single" w:color="auto" w:sz="4" w:space="0"/>
              <w:left w:val="single" w:color="auto" w:sz="4" w:space="0"/>
              <w:bottom w:val="single" w:color="auto" w:sz="4" w:space="0"/>
              <w:right w:val="single" w:color="auto" w:sz="4" w:space="0"/>
            </w:tcBorders>
            <w:vAlign w:val="center"/>
          </w:tcPr>
          <w:p/>
        </w:tc>
        <w:tc>
          <w:tcPr>
            <w:tcW w:w="1180" w:type="dxa"/>
            <w:vMerge w:val="continue"/>
            <w:tcBorders>
              <w:top w:val="single" w:color="auto" w:sz="4" w:space="0"/>
              <w:left w:val="single" w:color="auto" w:sz="4" w:space="0"/>
              <w:right w:val="single" w:color="auto" w:sz="4" w:space="0"/>
            </w:tcBorders>
            <w:shd w:val="clear" w:color="auto" w:fill="auto"/>
            <w:vAlign w:val="center"/>
          </w:tcP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再犯罪率</w:t>
            </w:r>
          </w:p>
        </w:tc>
        <w:tc>
          <w:tcPr>
            <w:tcW w:w="9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0.1%</w:t>
            </w:r>
          </w:p>
        </w:tc>
        <w:tc>
          <w:tcPr>
            <w:tcW w:w="4018"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fldChar w:fldCharType="begin"/>
            </w:r>
            <w:r>
              <w:rPr>
                <w:rFonts w:hint="eastAsia" w:ascii="仿宋_GB2312" w:eastAsia="仿宋_GB2312" w:cs="楷体"/>
                <w:szCs w:val="21"/>
              </w:rPr>
              <w:instrText xml:space="preserve"> = 1 \* GB3 \* MERGEFORMAT </w:instrText>
            </w:r>
            <w:r>
              <w:rPr>
                <w:rFonts w:hint="eastAsia" w:ascii="仿宋_GB2312" w:eastAsia="仿宋_GB2312" w:cs="楷体"/>
                <w:szCs w:val="21"/>
              </w:rPr>
              <w:fldChar w:fldCharType="separate"/>
            </w:r>
            <w:r>
              <w:rPr>
                <w:rFonts w:hint="eastAsia" w:ascii="仿宋_GB2312" w:eastAsia="仿宋_GB2312" w:cs="楷体"/>
                <w:szCs w:val="21"/>
              </w:rPr>
              <w:t>①</w:t>
            </w:r>
            <w:r>
              <w:rPr>
                <w:rFonts w:hint="eastAsia" w:ascii="仿宋_GB2312" w:eastAsia="仿宋_GB2312" w:cs="楷体"/>
                <w:szCs w:val="21"/>
              </w:rPr>
              <w:fldChar w:fldCharType="end"/>
            </w:r>
            <w:r>
              <w:rPr>
                <w:rFonts w:hint="eastAsia" w:ascii="仿宋_GB2312" w:eastAsia="仿宋_GB2312" w:cs="楷体"/>
                <w:szCs w:val="21"/>
              </w:rPr>
              <w:t>当年社区矫正对象重新犯罪率在0.1%以下的，得10分；</w:t>
            </w:r>
            <w:r>
              <w:rPr>
                <w:rFonts w:hint="eastAsia" w:ascii="仿宋_GB2312" w:eastAsia="仿宋_GB2312" w:cs="楷体"/>
                <w:szCs w:val="21"/>
              </w:rPr>
              <w:fldChar w:fldCharType="begin"/>
            </w:r>
            <w:r>
              <w:rPr>
                <w:rFonts w:hint="eastAsia" w:ascii="仿宋_GB2312" w:eastAsia="仿宋_GB2312" w:cs="楷体"/>
                <w:szCs w:val="21"/>
              </w:rPr>
              <w:instrText xml:space="preserve"> = 2 \* GB3 \* MERGEFORMAT </w:instrText>
            </w:r>
            <w:r>
              <w:rPr>
                <w:rFonts w:hint="eastAsia" w:ascii="仿宋_GB2312" w:eastAsia="仿宋_GB2312" w:cs="楷体"/>
                <w:szCs w:val="21"/>
              </w:rPr>
              <w:fldChar w:fldCharType="separate"/>
            </w:r>
            <w:r>
              <w:rPr>
                <w:rFonts w:hint="eastAsia" w:ascii="仿宋_GB2312" w:eastAsia="仿宋_GB2312" w:cs="楷体"/>
                <w:szCs w:val="21"/>
              </w:rPr>
              <w:t>②</w:t>
            </w:r>
            <w:r>
              <w:rPr>
                <w:rFonts w:hint="eastAsia" w:ascii="仿宋_GB2312" w:eastAsia="仿宋_GB2312" w:cs="楷体"/>
                <w:szCs w:val="21"/>
              </w:rPr>
              <w:fldChar w:fldCharType="end"/>
            </w:r>
            <w:r>
              <w:rPr>
                <w:rFonts w:hint="eastAsia" w:ascii="仿宋_GB2312" w:eastAsia="仿宋_GB2312" w:cs="楷体"/>
                <w:szCs w:val="21"/>
              </w:rPr>
              <w:t>超过0.1%，不超过0.2%的，得8分；</w:t>
            </w:r>
            <w:r>
              <w:rPr>
                <w:rFonts w:hint="eastAsia" w:ascii="仿宋_GB2312" w:eastAsia="仿宋_GB2312" w:cs="楷体"/>
                <w:szCs w:val="21"/>
              </w:rPr>
              <w:fldChar w:fldCharType="begin"/>
            </w:r>
            <w:r>
              <w:rPr>
                <w:rFonts w:hint="eastAsia" w:ascii="仿宋_GB2312" w:eastAsia="仿宋_GB2312" w:cs="楷体"/>
                <w:szCs w:val="21"/>
              </w:rPr>
              <w:instrText xml:space="preserve"> = 3 \* GB3 \* MERGEFORMAT </w:instrText>
            </w:r>
            <w:r>
              <w:rPr>
                <w:rFonts w:hint="eastAsia" w:ascii="仿宋_GB2312" w:eastAsia="仿宋_GB2312" w:cs="楷体"/>
                <w:szCs w:val="21"/>
              </w:rPr>
              <w:fldChar w:fldCharType="separate"/>
            </w:r>
            <w:r>
              <w:rPr>
                <w:rFonts w:hint="eastAsia" w:ascii="仿宋_GB2312" w:eastAsia="仿宋_GB2312" w:cs="楷体"/>
                <w:szCs w:val="21"/>
              </w:rPr>
              <w:t>③</w:t>
            </w:r>
            <w:r>
              <w:rPr>
                <w:rFonts w:hint="eastAsia" w:ascii="仿宋_GB2312" w:eastAsia="仿宋_GB2312" w:cs="楷体"/>
                <w:szCs w:val="21"/>
              </w:rPr>
              <w:fldChar w:fldCharType="end"/>
            </w:r>
            <w:r>
              <w:rPr>
                <w:rFonts w:hint="eastAsia" w:ascii="仿宋_GB2312" w:eastAsia="仿宋_GB2312" w:cs="楷体"/>
                <w:szCs w:val="21"/>
              </w:rPr>
              <w:t>0.2%以上的，得0分。</w:t>
            </w:r>
          </w:p>
        </w:tc>
        <w:tc>
          <w:tcPr>
            <w:tcW w:w="520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仿宋_GB2312" w:eastAsia="仿宋_GB2312" w:cs="楷体"/>
                <w:szCs w:val="21"/>
              </w:rPr>
            </w:pPr>
            <w:r>
              <w:rPr>
                <w:rFonts w:hint="eastAsia" w:ascii="仿宋_GB2312" w:eastAsia="仿宋_GB2312" w:cs="楷体"/>
                <w:szCs w:val="21"/>
              </w:rPr>
              <w:t>社区矫正对象重新犯罪的情况统计,再犯罪率为0,得10分</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10</w:t>
            </w:r>
          </w:p>
        </w:tc>
        <w:tc>
          <w:tcPr>
            <w:tcW w:w="78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1097" w:type="dxa"/>
            <w:vMerge w:val="continue"/>
            <w:tcBorders>
              <w:top w:val="single" w:color="auto" w:sz="4" w:space="0"/>
              <w:left w:val="single" w:color="auto" w:sz="4" w:space="0"/>
              <w:bottom w:val="single" w:color="auto" w:sz="4" w:space="0"/>
              <w:right w:val="single" w:color="auto" w:sz="4" w:space="0"/>
            </w:tcBorders>
            <w:vAlign w:val="center"/>
          </w:tc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t>可持续效益</w:t>
            </w: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可持续影响</w:t>
            </w:r>
          </w:p>
        </w:tc>
        <w:tc>
          <w:tcPr>
            <w:tcW w:w="9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100%</w:t>
            </w:r>
          </w:p>
        </w:tc>
        <w:tc>
          <w:tcPr>
            <w:tcW w:w="4018"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p>
          <w:p>
            <w:pPr>
              <w:spacing w:line="240" w:lineRule="exact"/>
              <w:jc w:val="center"/>
              <w:rPr>
                <w:rFonts w:ascii="仿宋_GB2312" w:eastAsia="仿宋_GB2312" w:cs="楷体"/>
                <w:szCs w:val="21"/>
              </w:rPr>
            </w:pPr>
            <w:r>
              <w:rPr>
                <w:rFonts w:hint="eastAsia" w:ascii="仿宋_GB2312" w:eastAsia="仿宋_GB2312" w:cs="楷体"/>
                <w:szCs w:val="21"/>
              </w:rPr>
              <w:fldChar w:fldCharType="begin"/>
            </w:r>
            <w:r>
              <w:rPr>
                <w:rFonts w:hint="eastAsia" w:ascii="仿宋_GB2312" w:eastAsia="仿宋_GB2312" w:cs="楷体"/>
                <w:szCs w:val="21"/>
              </w:rPr>
              <w:instrText xml:space="preserve"> = 1 \* GB3 \* MERGEFORMAT </w:instrText>
            </w:r>
            <w:r>
              <w:rPr>
                <w:rFonts w:hint="eastAsia" w:ascii="仿宋_GB2312" w:eastAsia="仿宋_GB2312" w:cs="楷体"/>
                <w:szCs w:val="21"/>
              </w:rPr>
              <w:fldChar w:fldCharType="separate"/>
            </w:r>
            <w:r>
              <w:rPr>
                <w:rFonts w:hint="eastAsia" w:ascii="仿宋_GB2312" w:eastAsia="仿宋_GB2312" w:cs="楷体"/>
                <w:szCs w:val="21"/>
              </w:rPr>
              <w:t>①</w:t>
            </w:r>
            <w:r>
              <w:rPr>
                <w:rFonts w:hint="eastAsia" w:ascii="仿宋_GB2312" w:eastAsia="仿宋_GB2312" w:cs="楷体"/>
                <w:szCs w:val="21"/>
              </w:rPr>
              <w:fldChar w:fldCharType="end"/>
            </w:r>
            <w:r>
              <w:rPr>
                <w:rFonts w:hint="eastAsia" w:ascii="仿宋_GB2312" w:eastAsia="仿宋_GB2312" w:cs="楷体"/>
                <w:szCs w:val="21"/>
              </w:rPr>
              <w:t>开展智慧社区矫正中心创建工作（3分）;</w:t>
            </w:r>
            <w:r>
              <w:rPr>
                <w:rFonts w:hint="eastAsia" w:ascii="仿宋_GB2312" w:eastAsia="仿宋_GB2312" w:cs="楷体"/>
                <w:szCs w:val="21"/>
              </w:rPr>
              <w:fldChar w:fldCharType="begin"/>
            </w:r>
            <w:r>
              <w:rPr>
                <w:rFonts w:hint="eastAsia" w:ascii="仿宋_GB2312" w:eastAsia="仿宋_GB2312" w:cs="楷体"/>
                <w:szCs w:val="21"/>
              </w:rPr>
              <w:instrText xml:space="preserve"> = 2 \* GB3 \* MERGEFORMAT </w:instrText>
            </w:r>
            <w:r>
              <w:rPr>
                <w:rFonts w:hint="eastAsia" w:ascii="仿宋_GB2312" w:eastAsia="仿宋_GB2312" w:cs="楷体"/>
                <w:szCs w:val="21"/>
              </w:rPr>
              <w:fldChar w:fldCharType="separate"/>
            </w:r>
            <w:r>
              <w:rPr>
                <w:rFonts w:hint="eastAsia" w:ascii="仿宋_GB2312" w:eastAsia="仿宋_GB2312" w:cs="楷体"/>
                <w:szCs w:val="21"/>
              </w:rPr>
              <w:t>②</w:t>
            </w:r>
            <w:r>
              <w:rPr>
                <w:rFonts w:hint="eastAsia" w:ascii="仿宋_GB2312" w:eastAsia="仿宋_GB2312" w:cs="楷体"/>
                <w:szCs w:val="21"/>
              </w:rPr>
              <w:fldChar w:fldCharType="end"/>
            </w:r>
            <w:r>
              <w:rPr>
                <w:rFonts w:hint="eastAsia" w:ascii="仿宋_GB2312" w:eastAsia="仿宋_GB2312" w:cs="楷体"/>
                <w:szCs w:val="21"/>
              </w:rPr>
              <w:t>建立完善损害修复功能室（3分），按权重比扣分</w:t>
            </w:r>
          </w:p>
        </w:tc>
        <w:tc>
          <w:tcPr>
            <w:tcW w:w="520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开展智慧社区矫正中心创建工作与精准实施普遍、分类、个别“三项”教育，精准实施分级分类管理等任务全市有两个区启动较慢，按全市12个区权重比扣1分,得5分</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6</w:t>
            </w:r>
          </w:p>
        </w:tc>
        <w:tc>
          <w:tcPr>
            <w:tcW w:w="78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097" w:type="dxa"/>
            <w:vMerge w:val="continue"/>
            <w:tcBorders>
              <w:top w:val="single" w:color="auto" w:sz="4" w:space="0"/>
              <w:left w:val="single" w:color="auto" w:sz="4" w:space="0"/>
              <w:bottom w:val="single" w:color="auto" w:sz="4" w:space="0"/>
              <w:right w:val="single" w:color="auto" w:sz="4" w:space="0"/>
            </w:tcBorders>
            <w:vAlign w:val="center"/>
          </w:tcP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t>服务对</w:t>
            </w:r>
            <w:r>
              <w:rPr>
                <w:rFonts w:hint="eastAsia" w:ascii="仿宋_GB2312" w:eastAsia="仿宋_GB2312" w:cs="楷体"/>
                <w:szCs w:val="21"/>
                <w:lang w:val="en-US" w:eastAsia="zh-CN"/>
              </w:rPr>
              <w:t>象</w:t>
            </w:r>
            <w:bookmarkStart w:id="23" w:name="_GoBack"/>
            <w:bookmarkEnd w:id="23"/>
            <w:r>
              <w:rPr>
                <w:rFonts w:hint="eastAsia" w:ascii="仿宋_GB2312" w:eastAsia="仿宋_GB2312" w:cs="楷体"/>
                <w:szCs w:val="21"/>
              </w:rPr>
              <w:t>满意度</w:t>
            </w: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社区矫正工作人员满意度</w:t>
            </w:r>
          </w:p>
        </w:tc>
        <w:tc>
          <w:tcPr>
            <w:tcW w:w="9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85%</w:t>
            </w:r>
          </w:p>
        </w:tc>
        <w:tc>
          <w:tcPr>
            <w:tcW w:w="4018"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p>
          <w:p>
            <w:pPr>
              <w:spacing w:line="240" w:lineRule="exact"/>
              <w:jc w:val="center"/>
              <w:rPr>
                <w:rFonts w:ascii="仿宋_GB2312" w:eastAsia="仿宋_GB2312" w:cs="楷体"/>
                <w:szCs w:val="21"/>
              </w:rPr>
            </w:pPr>
            <w:r>
              <w:rPr>
                <w:rFonts w:hint="eastAsia" w:ascii="仿宋_GB2312" w:eastAsia="仿宋_GB2312" w:cs="楷体"/>
                <w:szCs w:val="21"/>
              </w:rPr>
              <w:t>社区矫正工作人员幸福感和安全感调查超过85%得满分，低于85%每降低5%</w:t>
            </w:r>
          </w:p>
          <w:p>
            <w:pPr>
              <w:pStyle w:val="5"/>
              <w:spacing w:line="240" w:lineRule="exact"/>
              <w:jc w:val="center"/>
              <w:rPr>
                <w:rFonts w:ascii="仿宋_GB2312" w:eastAsia="仿宋_GB2312" w:cs="楷体"/>
                <w:sz w:val="21"/>
                <w:szCs w:val="21"/>
              </w:rPr>
            </w:pPr>
            <w:r>
              <w:rPr>
                <w:rFonts w:hint="eastAsia" w:ascii="仿宋_GB2312" w:eastAsia="仿宋_GB2312" w:cs="楷体"/>
                <w:sz w:val="21"/>
                <w:szCs w:val="21"/>
              </w:rPr>
              <w:t>扣1分，扣完为止。</w:t>
            </w:r>
          </w:p>
        </w:tc>
        <w:tc>
          <w:tcPr>
            <w:tcW w:w="520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有效提升社区矫正工作人员满意度，按照项目实际产出情况与计划产出数酌情得分,满意度为97.43%,得15分</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15</w:t>
            </w:r>
          </w:p>
        </w:tc>
        <w:tc>
          <w:tcPr>
            <w:tcW w:w="78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1097" w:type="dxa"/>
            <w:vMerge w:val="continue"/>
            <w:tcBorders>
              <w:top w:val="single" w:color="auto" w:sz="4" w:space="0"/>
              <w:left w:val="single" w:color="auto" w:sz="4" w:space="0"/>
              <w:bottom w:val="single" w:color="auto" w:sz="4" w:space="0"/>
              <w:right w:val="single" w:color="auto" w:sz="4" w:space="0"/>
            </w:tcBorders>
            <w:vAlign w:val="center"/>
          </w:tcPr>
          <w:p/>
        </w:tc>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社区矫正对象满意度</w:t>
            </w:r>
          </w:p>
        </w:tc>
        <w:tc>
          <w:tcPr>
            <w:tcW w:w="9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85%</w:t>
            </w:r>
          </w:p>
        </w:tc>
        <w:tc>
          <w:tcPr>
            <w:tcW w:w="4018"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eastAsia="仿宋_GB2312" w:cs="楷体"/>
                <w:szCs w:val="21"/>
              </w:rPr>
            </w:pPr>
            <w:r>
              <w:rPr>
                <w:rFonts w:hint="eastAsia" w:ascii="仿宋_GB2312" w:eastAsia="仿宋_GB2312" w:cs="楷体"/>
                <w:szCs w:val="21"/>
              </w:rPr>
              <w:t>对社区矫正工作的满意度超过85%得满分，低于85%每降低5%扣1分，扣完为止。</w:t>
            </w:r>
          </w:p>
        </w:tc>
        <w:tc>
          <w:tcPr>
            <w:tcW w:w="520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社区矫正对象满意度（访谈）,满意度为100%,得5分</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5</w:t>
            </w:r>
          </w:p>
        </w:tc>
        <w:tc>
          <w:tcPr>
            <w:tcW w:w="78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r>
              <w:rPr>
                <w:rFonts w:hint="eastAsia" w:ascii="仿宋_GB2312" w:eastAsia="仿宋_GB2312" w:cs="楷体"/>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09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s="楷体"/>
                <w:b/>
                <w:bCs/>
                <w:szCs w:val="21"/>
              </w:rPr>
            </w:pPr>
            <w:r>
              <w:rPr>
                <w:rFonts w:hint="eastAsia" w:ascii="仿宋_GB2312" w:eastAsia="仿宋_GB2312" w:cs="楷体"/>
                <w:b/>
                <w:bCs/>
                <w:szCs w:val="21"/>
              </w:rPr>
              <w:t>合计</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b/>
                <w:bCs/>
                <w:szCs w:val="21"/>
              </w:rPr>
            </w:pP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b/>
                <w:bCs/>
                <w:szCs w:val="21"/>
              </w:rPr>
            </w:pPr>
          </w:p>
        </w:tc>
        <w:tc>
          <w:tcPr>
            <w:tcW w:w="92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b/>
                <w:bCs/>
                <w:szCs w:val="21"/>
              </w:rPr>
            </w:pPr>
          </w:p>
        </w:tc>
        <w:tc>
          <w:tcPr>
            <w:tcW w:w="4018"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b/>
                <w:bCs/>
                <w:szCs w:val="21"/>
              </w:rPr>
            </w:pPr>
          </w:p>
        </w:tc>
        <w:tc>
          <w:tcPr>
            <w:tcW w:w="520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szCs w:val="21"/>
              </w:rPr>
            </w:pP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b/>
                <w:bCs/>
                <w:szCs w:val="21"/>
              </w:rPr>
            </w:pPr>
            <w:r>
              <w:rPr>
                <w:rFonts w:hint="eastAsia" w:ascii="仿宋_GB2312" w:eastAsia="仿宋_GB2312" w:cs="楷体"/>
                <w:b/>
                <w:bCs/>
                <w:szCs w:val="21"/>
              </w:rPr>
              <w:t>100</w:t>
            </w:r>
          </w:p>
        </w:tc>
        <w:tc>
          <w:tcPr>
            <w:tcW w:w="78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cs="楷体"/>
                <w:b/>
                <w:bCs/>
                <w:szCs w:val="21"/>
              </w:rPr>
            </w:pPr>
            <w:r>
              <w:rPr>
                <w:rFonts w:hint="eastAsia" w:ascii="仿宋_GB2312" w:eastAsia="仿宋_GB2312" w:cs="楷体"/>
                <w:b/>
                <w:bCs/>
                <w:szCs w:val="21"/>
              </w:rPr>
              <w:t>97.0</w:t>
            </w:r>
          </w:p>
        </w:tc>
      </w:tr>
      <w:bookmarkEnd w:id="21"/>
      <w:bookmarkEnd w:id="22"/>
    </w:tbl>
    <w:p>
      <w:pPr>
        <w:pStyle w:val="12"/>
        <w:spacing w:line="550" w:lineRule="exact"/>
        <w:rPr>
          <w:lang w:val="en-US"/>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FZXBSK--GBK1-0">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11 -</w:t>
    </w:r>
    <w:r>
      <w:rPr>
        <w:rFonts w:ascii="宋体"/>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sz w:val="28"/>
        <w:szCs w:val="28"/>
      </w:rP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12 -</w:t>
    </w:r>
    <w:r>
      <w:rPr>
        <w:rFonts w:ascii="宋体"/>
        <w:sz w:val="28"/>
        <w:szCs w:val="2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C290D"/>
    <w:multiLevelType w:val="multilevel"/>
    <w:tmpl w:val="4E2C290D"/>
    <w:lvl w:ilvl="0" w:tentative="0">
      <w:start w:val="3"/>
      <w:numFmt w:val="japaneseCounting"/>
      <w:lvlText w:val="（%1）"/>
      <w:lvlJc w:val="left"/>
      <w:pPr>
        <w:tabs>
          <w:tab w:val="left" w:pos="0"/>
        </w:tabs>
        <w:ind w:left="1080" w:hanging="108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0C92624F"/>
    <w:rsid w:val="10C628D8"/>
    <w:rsid w:val="17601950"/>
    <w:rsid w:val="197E7046"/>
    <w:rsid w:val="301C2184"/>
    <w:rsid w:val="3C1C65EA"/>
    <w:rsid w:val="4E870795"/>
    <w:rsid w:val="54733D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ind w:firstLine="200" w:firstLineChars="200"/>
      <w:jc w:val="left"/>
      <w:outlineLvl w:val="2"/>
    </w:pPr>
    <w:rPr>
      <w:rFonts w:ascii="Cambria" w:hAnsi="Cambria" w:eastAsia="黑体"/>
      <w:bCs/>
      <w:kern w:val="28"/>
      <w:sz w:val="28"/>
      <w:szCs w:val="32"/>
    </w:rPr>
  </w:style>
  <w:style w:type="paragraph" w:styleId="8">
    <w:name w:val="Normal (Web)"/>
    <w:basedOn w:val="1"/>
    <w:qFormat/>
    <w:uiPriority w:val="0"/>
    <w:pPr>
      <w:widowControl/>
      <w:spacing w:before="100" w:beforeAutospacing="1" w:after="100" w:afterAutospacing="1"/>
      <w:jc w:val="left"/>
    </w:pPr>
    <w:rPr>
      <w:rFonts w:ascii="宋体" w:cs="宋体"/>
      <w:kern w:val="0"/>
      <w:sz w:val="24"/>
    </w:rPr>
  </w:style>
  <w:style w:type="paragraph" w:styleId="11">
    <w:name w:val="List Paragraph"/>
    <w:basedOn w:val="1"/>
    <w:qFormat/>
    <w:uiPriority w:val="0"/>
    <w:pPr>
      <w:ind w:firstLine="200" w:firstLineChars="200"/>
    </w:pPr>
  </w:style>
  <w:style w:type="paragraph" w:customStyle="1" w:styleId="12">
    <w:name w:val="南京正文"/>
    <w:basedOn w:val="1"/>
    <w:qFormat/>
    <w:uiPriority w:val="0"/>
    <w:pPr>
      <w:spacing w:line="560" w:lineRule="exact"/>
      <w:ind w:firstLine="200" w:firstLineChars="200"/>
    </w:pPr>
    <w:rPr>
      <w:rFonts w:eastAsia="仿宋"/>
      <w:kern w:val="0"/>
      <w:sz w:val="32"/>
      <w:szCs w:val="28"/>
      <w:lang w:val="zh-CN"/>
    </w:rPr>
  </w:style>
  <w:style w:type="paragraph" w:customStyle="1" w:styleId="13">
    <w:name w:val="二级标题（一）（二）（三）"/>
    <w:basedOn w:val="3"/>
    <w:qFormat/>
    <w:uiPriority w:val="0"/>
    <w:pPr>
      <w:adjustRightInd w:val="0"/>
      <w:spacing w:before="0" w:after="0" w:line="560" w:lineRule="exact"/>
      <w:ind w:firstLine="200" w:firstLineChars="200"/>
      <w:contextualSpacing/>
      <w:jc w:val="left"/>
    </w:pPr>
    <w:rPr>
      <w:rFonts w:ascii="仿宋" w:hAnsi="仿宋" w:eastAsia="楷体"/>
      <w:bCs w:val="0"/>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微软中国</Company>
  <Pages>12</Pages>
  <Words>5498</Words>
  <Characters>5692</Characters>
  <Lines>360</Lines>
  <Paragraphs>207</Paragraphs>
  <TotalTime>2</TotalTime>
  <ScaleCrop>false</ScaleCrop>
  <LinksUpToDate>false</LinksUpToDate>
  <CharactersWithSpaces>5711</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2022-08-16T06:07:00Z</dcterms:created>
  <dc:creator>段伟(duanwei)</dc:creator>
  <cp:lastModifiedBy>位真(weizhen)</cp:lastModifiedBy>
  <dcterms:modified xsi:type="dcterms:W3CDTF">2023-06-13T08:00:40Z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14EC814383054DE9B2B93C0D5987F24E</vt:lpwstr>
  </property>
</Properties>
</file>