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1" w:line="600" w:lineRule="exact"/>
        <w:ind w:right="641" w:firstLineChars="0" w:firstLine="0"/>
        <w:jc w:val="center"/>
        <w:rPr>
          <w:rFonts w:eastAsia="仿宋_GB2312"/>
          <w:b/>
          <w:szCs w:val="32"/>
        </w:rPr>
      </w:pPr>
    </w:p>
    <w:p>
      <w:pPr>
        <w:spacing w:before="1" w:line="600" w:lineRule="exact"/>
        <w:ind w:right="641" w:firstLineChars="0" w:firstLine="0"/>
        <w:jc w:val="center"/>
        <w:rPr>
          <w:rFonts w:eastAsia="仿宋_GB2312"/>
          <w:bCs/>
          <w:szCs w:val="32"/>
        </w:rPr>
      </w:pPr>
      <w:bookmarkStart w:id="0" w:name="_Hlk87172319"/>
    </w:p>
    <w:p>
      <w:pPr>
        <w:spacing w:line="600" w:lineRule="exact"/>
        <w:ind w:firstLineChars="0" w:firstLine="0"/>
        <w:jc w:val="center"/>
        <w:rPr>
          <w:rFonts w:eastAsia="方正小标宋简体"/>
          <w:sz w:val="44"/>
          <w:szCs w:val="44"/>
        </w:rPr>
      </w:pPr>
      <w:bookmarkEnd w:id="0"/>
      <w:r>
        <w:rPr>
          <w:rFonts w:eastAsia="方正小标宋简体" w:hint="eastAsia"/>
          <w:sz w:val="44"/>
          <w:szCs w:val="44"/>
        </w:rPr>
        <w:t>2023年南京市城市警备防务与基层政法经常性补助——社区矫正专项资金</w:t>
      </w:r>
    </w:p>
    <w:p>
      <w:pPr>
        <w:spacing w:line="600" w:lineRule="exact"/>
        <w:ind w:firstLineChars="0" w:firstLine="0"/>
        <w:jc w:val="center"/>
        <w:rPr>
          <w:rFonts w:eastAsia="方正小标宋简体"/>
          <w:spacing w:val="3"/>
          <w:sz w:val="44"/>
          <w:szCs w:val="44"/>
        </w:rPr>
      </w:pPr>
      <w:r>
        <w:rPr>
          <w:rFonts w:eastAsia="方正小标宋简体" w:hint="eastAsia"/>
          <w:sz w:val="44"/>
          <w:szCs w:val="44"/>
        </w:rPr>
        <w:t>绩效评价</w:t>
      </w:r>
      <w:r>
        <w:rPr>
          <w:rFonts w:eastAsia="方正小标宋简体"/>
          <w:sz w:val="44"/>
          <w:szCs w:val="44"/>
        </w:rPr>
        <w:t>报</w:t>
      </w:r>
      <w:r>
        <w:rPr>
          <w:rFonts w:eastAsia="方正小标宋简体"/>
          <w:spacing w:val="3"/>
          <w:sz w:val="44"/>
          <w:szCs w:val="44"/>
        </w:rPr>
        <w:t>告</w:t>
      </w: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5" w:firstLine="143"/>
        <w:jc w:val="center"/>
        <w:rPr>
          <w:rFonts w:eastAsia="黑体"/>
          <w:b/>
          <w:spacing w:val="-1"/>
          <w:szCs w:val="32"/>
        </w:rPr>
      </w:pPr>
    </w:p>
    <w:p>
      <w:pPr>
        <w:pStyle w:val="16"/>
        <w:spacing w:before="14" w:line="600" w:lineRule="exact"/>
        <w:rPr>
          <w:rFonts w:eastAsia="黑体"/>
          <w:sz w:val="32"/>
          <w:szCs w:val="32"/>
        </w:rPr>
      </w:pPr>
    </w:p>
    <w:p>
      <w:pPr>
        <w:spacing w:line="600" w:lineRule="exact"/>
        <w:ind w:leftChars="200" w:left="2265" w:hangingChars="508" w:hanging="1625"/>
        <w:rPr>
          <w:rFonts w:eastAsia="黑体"/>
          <w:kern w:val="0"/>
          <w:szCs w:val="32"/>
          <w:lang w:bidi="en-US"/>
        </w:rPr>
      </w:pPr>
      <w:r>
        <w:rPr>
          <w:rFonts w:eastAsia="黑体"/>
          <w:kern w:val="0"/>
          <w:szCs w:val="32"/>
          <w:lang w:bidi="en-US"/>
        </w:rPr>
        <w:t>项目名称：</w:t>
      </w:r>
      <w:r>
        <w:rPr>
          <w:rFonts w:eastAsia="黑体" w:hint="eastAsia"/>
          <w:kern w:val="0"/>
          <w:szCs w:val="32"/>
          <w:lang w:bidi="en-US"/>
        </w:rPr>
        <w:t>2023年南京市城市警备防务与基层政法经常性补助——社区矫正专项资金</w:t>
      </w:r>
    </w:p>
    <w:p>
      <w:pPr>
        <w:spacing w:line="600" w:lineRule="exact"/>
        <w:rPr>
          <w:rFonts w:eastAsia="黑体"/>
          <w:kern w:val="0"/>
          <w:szCs w:val="32"/>
          <w:lang w:bidi="en-US"/>
        </w:rPr>
      </w:pPr>
      <w:r>
        <w:rPr>
          <w:rFonts w:eastAsia="黑体"/>
          <w:kern w:val="0"/>
          <w:szCs w:val="32"/>
          <w:lang w:bidi="en-US"/>
        </w:rPr>
        <w:t>主管部门：</w:t>
      </w:r>
      <w:r>
        <w:rPr>
          <w:rFonts w:eastAsia="黑体" w:hint="eastAsia"/>
          <w:kern w:val="0"/>
          <w:szCs w:val="32"/>
          <w:lang w:bidi="en-US"/>
        </w:rPr>
        <w:t>南京市</w:t>
      </w:r>
      <w:r>
        <w:rPr>
          <w:rFonts w:eastAsia="黑体"/>
          <w:szCs w:val="32"/>
        </w:rPr>
        <w:t>司法局</w:t>
      </w:r>
    </w:p>
    <w:p>
      <w:pPr>
        <w:spacing w:line="600" w:lineRule="exact"/>
        <w:rPr>
          <w:rFonts w:eastAsia="黑体"/>
          <w:kern w:val="0"/>
          <w:szCs w:val="32"/>
          <w:lang w:bidi="en-US"/>
        </w:rPr>
      </w:pPr>
      <w:r>
        <w:rPr>
          <w:rFonts w:eastAsia="黑体"/>
          <w:kern w:val="0"/>
          <w:szCs w:val="32"/>
          <w:lang w:bidi="en-US"/>
        </w:rPr>
        <w:t>评价单位：</w:t>
      </w:r>
      <w:bookmarkStart w:id="1" w:name="_Hlk53051689"/>
      <w:r>
        <w:rPr>
          <w:rFonts w:eastAsia="黑体" w:hint="eastAsia"/>
          <w:kern w:val="0"/>
          <w:szCs w:val="32"/>
          <w:lang w:bidi="en-US"/>
        </w:rPr>
        <w:t>南京市</w:t>
      </w:r>
      <w:r>
        <w:rPr>
          <w:rFonts w:eastAsia="黑体"/>
          <w:szCs w:val="32"/>
        </w:rPr>
        <w:t>司法局</w:t>
      </w:r>
    </w:p>
    <w:p>
      <w:pPr>
        <w:spacing w:line="600" w:lineRule="exact"/>
        <w:rPr>
          <w:rFonts w:eastAsia="黑体"/>
          <w:kern w:val="0"/>
          <w:szCs w:val="32"/>
          <w:lang w:bidi="en-US"/>
        </w:rPr>
      </w:pPr>
      <w:bookmarkEnd w:id="1"/>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jc w:val="center"/>
        <w:rPr>
          <w:rFonts w:eastAsia="黑体"/>
          <w:kern w:val="0"/>
          <w:szCs w:val="32"/>
          <w:lang w:bidi="en-US"/>
        </w:rPr>
      </w:pPr>
      <w:r>
        <w:rPr>
          <w:rFonts w:eastAsia="黑体"/>
          <w:kern w:val="0"/>
          <w:szCs w:val="32"/>
          <w:lang w:bidi="en-US"/>
        </w:rPr>
        <w:t>2024年6月</w:t>
      </w:r>
    </w:p>
    <w:p>
      <w:pPr>
        <w:pStyle w:val="39"/>
        <w:spacing w:line="600" w:lineRule="exact"/>
        <w:ind w:firstLine="640"/>
        <w:jc w:val="center"/>
        <w:rPr>
          <w:rStyle w:val="29"/>
          <w:rFonts w:ascii="Times New Roman" w:eastAsia="仿宋_GB2312" w:cs="Times New Roman" w:hAnsi="Times New Roman"/>
          <w:color w:val="auto"/>
          <w:kern w:val="2"/>
          <w:u w:val="none"/>
          <w:lang w:val="zh-CN"/>
        </w:rPr>
        <w:sectPr>
          <w:headerReference w:type="default" r:id="rId2"/>
          <w:footerReference w:type="default" r:id="rId3"/>
          <w:pgSz w:w="12240" w:h="15840"/>
          <w:pgMar w:top="1440" w:right="1684" w:bottom="1440" w:left="1684" w:header="720" w:footer="720" w:gutter="0"/>
          <w:pgNumType w:start="0"/>
          <w:docGrid w:linePitch="286" w:charSpace="0"/>
        </w:sectPr>
      </w:pPr>
    </w:p>
    <w:sdt>
      <w:sdtPr>
        <w:rPr>
          <w:rStyle w:val="29"/>
          <w:rFonts w:ascii="Times New Roman" w:eastAsia="仿宋_GB2312" w:cs="Times New Roman" w:hAnsi="Times New Roman"/>
          <w:color w:val="auto"/>
          <w:kern w:val="2"/>
          <w:szCs w:val="24"/>
          <w:u w:val="none"/>
          <w:lang w:val="zh-CN"/>
        </w:rPr>
        <w:id w:val="-1908788179"/>
        <w:docPartObj>
          <w:docPartGallery w:val="Table of Contents"/>
          <w:docPartUnique/>
        </w:docPartObj>
      </w:sdtPr>
      <w:sdtEndPr>
        <w:rPr>
          <w:rFonts w:hint="eastAsia"/>
          <w:sz w:val="28"/>
          <w:szCs w:val="28"/>
        </w:rPr>
      </w:sdtEndPr>
      <w:sdtContent>
        <w:p>
          <w:pPr>
            <w:pStyle w:val="39"/>
            <w:spacing w:before="0" w:line="600" w:lineRule="exact"/>
            <w:jc w:val="center"/>
            <w:rPr>
              <w:rStyle w:val="29"/>
              <w:rFonts w:ascii="Times New Roman" w:eastAsia="黑体" w:cs="Times New Roman" w:hAnsi="Times New Roman"/>
              <w:b/>
              <w:bCs/>
              <w:color w:val="auto"/>
              <w:kern w:val="2"/>
              <w:u w:val="none"/>
            </w:rPr>
          </w:pPr>
          <w:r>
            <w:rPr>
              <w:rStyle w:val="29"/>
              <w:rFonts w:ascii="Times New Roman" w:eastAsia="黑体" w:cs="Times New Roman" w:hAnsi="Times New Roman"/>
              <w:bCs/>
              <w:color w:val="auto"/>
              <w:kern w:val="2"/>
              <w:u w:val="none"/>
              <w:lang w:val="zh-CN"/>
            </w:rPr>
            <w:t>目录</w:t>
          </w:r>
        </w:p>
        <w:p>
          <w:pPr>
            <w:pStyle w:val="23"/>
            <w:tabs>
              <w:tab w:val="right" w:leader="dot" w:pos="8636"/>
            </w:tabs>
            <w:spacing w:line="600" w:lineRule="exact"/>
            <w:ind w:firstLineChars="0" w:firstLine="0"/>
            <w:rPr>
              <w:rFonts w:eastAsia="等线" w:cs="Arial"/>
              <w:sz w:val="28"/>
              <w:szCs w:val="22"/>
            </w:rPr>
          </w:pPr>
          <w:r>
            <w:rPr>
              <w:rFonts w:eastAsia="仿宋_GB2312" w:hint="eastAsia"/>
              <w:sz w:val="28"/>
              <w:szCs w:val="28"/>
            </w:rPr>
            <w:fldChar w:fldCharType="begin"/>
          </w:r>
          <w:r>
            <w:rPr>
              <w:rFonts w:eastAsia="仿宋_GB2312" w:hint="eastAsia"/>
              <w:sz w:val="28"/>
              <w:szCs w:val="28"/>
            </w:rPr>
            <w:instrText xml:space="preserve"> TOC \o "1-3" \h \z \u </w:instrText>
          </w:r>
          <w:r>
            <w:rPr>
              <w:rFonts w:eastAsia="仿宋_GB2312" w:hint="eastAsia"/>
              <w:sz w:val="28"/>
              <w:szCs w:val="28"/>
            </w:rPr>
            <w:fldChar w:fldCharType="separate"/>
          </w:r>
          <w:r>
            <w:fldChar w:fldCharType="begin"/>
          </w:r>
          <w:r>
            <w:instrText xml:space="preserve"> HYPERLINK \l "_Toc170551904" </w:instrText>
          </w:r>
          <w:r>
            <w:fldChar w:fldCharType="separate"/>
          </w:r>
          <w:r>
            <w:rPr>
              <w:rFonts w:eastAsia="黑体"/>
              <w:color w:val="auto"/>
              <w:sz w:val="28"/>
            </w:rPr>
            <w:t>一、项目概况</w:t>
          </w:r>
          <w:r>
            <w:rPr>
              <w:sz w:val="28"/>
            </w:rPr>
            <w:tab/>
          </w:r>
          <w:r>
            <w:rPr>
              <w:sz w:val="28"/>
            </w:rPr>
            <w:fldChar w:fldCharType="begin"/>
          </w:r>
          <w:r>
            <w:rPr>
              <w:sz w:val="28"/>
            </w:rPr>
            <w:instrText xml:space="preserve"> PAGEREF _Toc170551904 \h </w:instrText>
          </w:r>
          <w:r>
            <w:rPr>
              <w:sz w:val="28"/>
            </w:rPr>
            <w:fldChar w:fldCharType="separate"/>
          </w:r>
          <w:r>
            <w:rPr>
              <w:sz w:val="28"/>
            </w:rPr>
            <w:t>1</w:t>
          </w:r>
          <w:r>
            <w:rPr>
              <w:sz w:val="28"/>
            </w:rPr>
            <w:fldChar w:fldCharType="end"/>
          </w:r>
          <w:r>
            <w:rPr>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"_Toc170551905" </w:instrText>
          </w:r>
          <w:r>
            <w:fldChar w:fldCharType="separate"/>
          </w:r>
          <w:r>
            <w:rPr>
              <w:rFonts w:eastAsia="楷体_GB2312"/>
              <w:color w:val="auto"/>
              <w:sz w:val="28"/>
            </w:rPr>
            <w:t>（一）项目基本情况</w:t>
          </w:r>
          <w:r>
            <w:rPr>
              <w:sz w:val="28"/>
            </w:rPr>
            <w:tab/>
          </w:r>
          <w:r>
            <w:rPr>
              <w:sz w:val="28"/>
            </w:rPr>
            <w:fldChar w:fldCharType="begin"/>
          </w:r>
          <w:r>
            <w:rPr>
              <w:sz w:val="28"/>
            </w:rPr>
            <w:instrText xml:space="preserve"> PAGEREF _Toc170551905 \h </w:instrText>
          </w:r>
          <w:r>
            <w:rPr>
              <w:sz w:val="28"/>
            </w:rPr>
            <w:fldChar w:fldCharType="separate"/>
          </w:r>
          <w:r>
            <w:rPr>
              <w:sz w:val="28"/>
            </w:rPr>
            <w:t>1</w:t>
          </w:r>
          <w:r>
            <w:rPr>
              <w:sz w:val="28"/>
            </w:rPr>
            <w:fldChar w:fldCharType="end"/>
          </w:r>
          <w:r>
            <w:rPr>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"_Toc170551906" </w:instrText>
          </w:r>
          <w:r>
            <w:fldChar w:fldCharType="separate"/>
          </w:r>
          <w:r>
            <w:rPr>
              <w:rFonts w:ascii="Times New Roman" w:eastAsia="仿宋_GB2312" w:hAnsi="Times New Roman"/>
              <w:color w:val="auto"/>
              <w:sz w:val="28"/>
            </w:rPr>
            <w:t>1．立项背景和目的</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_Toc170551906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"_Toc170551907" </w:instrText>
          </w:r>
          <w:r>
            <w:fldChar w:fldCharType="separate"/>
          </w:r>
          <w:r>
            <w:rPr>
              <w:rFonts w:ascii="Times New Roman" w:eastAsia="仿宋_GB2312" w:hAnsi="Times New Roman"/>
              <w:color w:val="auto"/>
              <w:sz w:val="28"/>
            </w:rPr>
            <w:t>2．项目内容</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_Toc170551907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"_Toc170551908" </w:instrText>
          </w:r>
          <w:r>
            <w:fldChar w:fldCharType="separate"/>
          </w:r>
          <w:r>
            <w:rPr>
              <w:rFonts w:eastAsia="楷体_GB2312"/>
              <w:color w:val="auto"/>
              <w:sz w:val="28"/>
            </w:rPr>
            <w:t>（二）项目资金情况</w:t>
          </w:r>
          <w:r>
            <w:rPr>
              <w:sz w:val="28"/>
            </w:rPr>
            <w:tab/>
          </w:r>
          <w:r>
            <w:rPr>
              <w:sz w:val="28"/>
            </w:rPr>
            <w:fldChar w:fldCharType="begin"/>
          </w:r>
          <w:r>
            <w:rPr>
              <w:sz w:val="28"/>
            </w:rPr>
            <w:instrText xml:space="preserve"> PAGEREF _Toc170551908 \h </w:instrText>
          </w:r>
          <w:r>
            <w:rPr>
              <w:sz w:val="28"/>
            </w:rPr>
            <w:fldChar w:fldCharType="separate"/>
          </w:r>
          <w:r>
            <w:rPr>
              <w:sz w:val="28"/>
            </w:rPr>
            <w:t>3</w:t>
          </w:r>
          <w:r>
            <w:rPr>
              <w:sz w:val="28"/>
            </w:rPr>
            <w:fldChar w:fldCharType="end"/>
          </w:r>
          <w:r>
            <w:rPr>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"_Toc170551909" </w:instrText>
          </w:r>
          <w:r>
            <w:fldChar w:fldCharType="separate"/>
          </w:r>
          <w:r>
            <w:rPr>
              <w:rFonts w:eastAsia="楷体_GB2312"/>
              <w:color w:val="auto"/>
              <w:sz w:val="28"/>
            </w:rPr>
            <w:t>（三）绩效目标</w:t>
          </w:r>
          <w:r>
            <w:rPr>
              <w:sz w:val="28"/>
            </w:rPr>
            <w:tab/>
          </w:r>
          <w:r>
            <w:rPr>
              <w:sz w:val="28"/>
            </w:rPr>
            <w:fldChar w:fldCharType="begin"/>
          </w:r>
          <w:r>
            <w:rPr>
              <w:sz w:val="28"/>
            </w:rPr>
            <w:instrText xml:space="preserve"> PAGEREF _Toc170551909 \h </w:instrText>
          </w:r>
          <w:r>
            <w:rPr>
              <w:sz w:val="28"/>
            </w:rPr>
            <w:fldChar w:fldCharType="separate"/>
          </w:r>
          <w:r>
            <w:rPr>
              <w:sz w:val="28"/>
            </w:rPr>
            <w:t>4</w:t>
          </w:r>
          <w:r>
            <w:rPr>
              <w:sz w:val="28"/>
            </w:rPr>
            <w:fldChar w:fldCharType="end"/>
          </w:r>
          <w:r>
            <w:rPr>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"_Toc170551910" </w:instrText>
          </w:r>
          <w:r>
            <w:fldChar w:fldCharType="separate"/>
          </w:r>
          <w:r>
            <w:rPr>
              <w:rFonts w:ascii="Times New Roman" w:eastAsia="仿宋_GB2312" w:hAnsi="Times New Roman"/>
              <w:color w:val="auto"/>
              <w:sz w:val="28"/>
            </w:rPr>
            <w:t>1. 绩效中长期目标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_Toc170551910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"_Toc170551911" </w:instrText>
          </w:r>
          <w:r>
            <w:fldChar w:fldCharType="separate"/>
          </w:r>
          <w:r>
            <w:rPr>
              <w:rFonts w:ascii="Times New Roman" w:eastAsia="仿宋_GB2312" w:hAnsi="Times New Roman"/>
              <w:color w:val="auto"/>
              <w:sz w:val="28"/>
            </w:rPr>
            <w:t>2. 年绩效目标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_Toc170551911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"_Toc170551912" </w:instrText>
          </w:r>
          <w:r>
            <w:fldChar w:fldCharType="separate"/>
          </w:r>
          <w:r>
            <w:rPr>
              <w:rFonts w:eastAsia="黑体"/>
              <w:color w:val="auto"/>
              <w:sz w:val="28"/>
            </w:rPr>
            <w:t>二、评价结论</w:t>
          </w:r>
          <w:r>
            <w:rPr>
              <w:sz w:val="28"/>
            </w:rPr>
            <w:tab/>
          </w:r>
          <w:r>
            <w:rPr>
              <w:sz w:val="28"/>
            </w:rPr>
            <w:fldChar w:fldCharType="begin"/>
          </w:r>
          <w:r>
            <w:rPr>
              <w:sz w:val="28"/>
            </w:rPr>
            <w:instrText xml:space="preserve"> PAGEREF _Toc170551912 \h </w:instrText>
          </w:r>
          <w:r>
            <w:rPr>
              <w:sz w:val="28"/>
            </w:rPr>
            <w:fldChar w:fldCharType="separate"/>
          </w:r>
          <w:r>
            <w:rPr>
              <w:sz w:val="28"/>
            </w:rPr>
            <w:t>5</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"_Toc170551913" </w:instrText>
          </w:r>
          <w:r>
            <w:fldChar w:fldCharType="separate"/>
          </w:r>
          <w:r>
            <w:rPr>
              <w:rFonts w:eastAsia="楷体_GB2312"/>
              <w:color w:val="auto"/>
              <w:sz w:val="28"/>
            </w:rPr>
            <w:t>（一）评价对象和范围</w:t>
          </w:r>
          <w:r>
            <w:rPr>
              <w:sz w:val="28"/>
            </w:rPr>
            <w:tab/>
          </w:r>
          <w:r>
            <w:rPr>
              <w:sz w:val="28"/>
            </w:rPr>
            <w:fldChar w:fldCharType="begin"/>
          </w:r>
          <w:r>
            <w:rPr>
              <w:sz w:val="28"/>
            </w:rPr>
            <w:instrText xml:space="preserve"> PAGEREF _Toc170551913 \h </w:instrText>
          </w:r>
          <w:r>
            <w:rPr>
              <w:sz w:val="28"/>
            </w:rPr>
            <w:fldChar w:fldCharType="separate"/>
          </w:r>
          <w:r>
            <w:rPr>
              <w:sz w:val="28"/>
            </w:rPr>
            <w:t>5</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"_Toc170551914" </w:instrText>
          </w:r>
          <w:r>
            <w:fldChar w:fldCharType="separate"/>
          </w:r>
          <w:r>
            <w:rPr>
              <w:rFonts w:eastAsia="楷体_GB2312"/>
              <w:color w:val="auto"/>
              <w:sz w:val="28"/>
            </w:rPr>
            <w:t>（二）绩效评价结论</w:t>
          </w:r>
          <w:r>
            <w:rPr>
              <w:sz w:val="28"/>
            </w:rPr>
            <w:tab/>
          </w:r>
          <w:r>
            <w:rPr>
              <w:sz w:val="28"/>
            </w:rPr>
            <w:fldChar w:fldCharType="begin"/>
          </w:r>
          <w:r>
            <w:rPr>
              <w:sz w:val="28"/>
            </w:rPr>
            <w:instrText xml:space="preserve"> PAGEREF _Toc170551914 \h </w:instrText>
          </w:r>
          <w:r>
            <w:rPr>
              <w:sz w:val="28"/>
            </w:rPr>
            <w:fldChar w:fldCharType="separate"/>
          </w:r>
          <w:r>
            <w:rPr>
              <w:sz w:val="28"/>
            </w:rPr>
            <w:t>5</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"_Toc170551915" </w:instrText>
          </w:r>
          <w:r>
            <w:fldChar w:fldCharType="separate"/>
          </w:r>
          <w:r>
            <w:rPr>
              <w:rFonts w:eastAsia="黑体"/>
              <w:color w:val="auto"/>
              <w:sz w:val="28"/>
            </w:rPr>
            <w:t>三、项目成效</w:t>
          </w:r>
          <w:r>
            <w:rPr>
              <w:sz w:val="28"/>
            </w:rPr>
            <w:tab/>
          </w:r>
          <w:r>
            <w:rPr>
              <w:sz w:val="28"/>
            </w:rPr>
            <w:fldChar w:fldCharType="begin"/>
          </w:r>
          <w:r>
            <w:rPr>
              <w:sz w:val="28"/>
            </w:rPr>
            <w:instrText xml:space="preserve"> PAGEREF _Toc170551915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"_Toc170551916" </w:instrText>
          </w:r>
          <w:r>
            <w:fldChar w:fldCharType="separate"/>
          </w:r>
          <w:r>
            <w:rPr>
              <w:rFonts w:eastAsia="楷体_GB2312"/>
              <w:color w:val="auto"/>
              <w:sz w:val="28"/>
            </w:rPr>
            <w:t>（一）阵地建设提档升级</w:t>
          </w:r>
          <w:r>
            <w:rPr>
              <w:sz w:val="28"/>
            </w:rPr>
            <w:tab/>
          </w:r>
          <w:r>
            <w:rPr>
              <w:sz w:val="28"/>
            </w:rPr>
            <w:fldChar w:fldCharType="begin"/>
          </w:r>
          <w:r>
            <w:rPr>
              <w:sz w:val="28"/>
            </w:rPr>
            <w:instrText xml:space="preserve"> PAGEREF _Toc170551916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"_Toc170551917" </w:instrText>
          </w:r>
          <w:r>
            <w:fldChar w:fldCharType="separate"/>
          </w:r>
          <w:r>
            <w:rPr>
              <w:rFonts w:eastAsia="楷体_GB2312"/>
              <w:color w:val="auto"/>
              <w:sz w:val="28"/>
            </w:rPr>
            <w:t>（二）社会安全更加稳定</w:t>
          </w:r>
          <w:r>
            <w:rPr>
              <w:sz w:val="28"/>
            </w:rPr>
            <w:tab/>
          </w:r>
          <w:r>
            <w:rPr>
              <w:sz w:val="28"/>
            </w:rPr>
            <w:fldChar w:fldCharType="begin"/>
          </w:r>
          <w:r>
            <w:rPr>
              <w:sz w:val="28"/>
            </w:rPr>
            <w:instrText xml:space="preserve"> PAGEREF _Toc170551917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"_Toc170551918" </w:instrText>
          </w:r>
          <w:r>
            <w:fldChar w:fldCharType="separate"/>
          </w:r>
          <w:r>
            <w:rPr>
              <w:rFonts w:eastAsia="楷体_GB2312"/>
              <w:color w:val="auto"/>
              <w:sz w:val="28"/>
            </w:rPr>
            <w:t>（三）社区矫正成效显著</w:t>
          </w:r>
          <w:r>
            <w:rPr>
              <w:sz w:val="28"/>
            </w:rPr>
            <w:tab/>
          </w:r>
          <w:r>
            <w:rPr>
              <w:sz w:val="28"/>
            </w:rPr>
            <w:fldChar w:fldCharType="begin"/>
          </w:r>
          <w:r>
            <w:rPr>
              <w:sz w:val="28"/>
            </w:rPr>
            <w:instrText xml:space="preserve"> PAGEREF _Toc170551918 \h </w:instrText>
          </w:r>
          <w:r>
            <w:rPr>
              <w:sz w:val="28"/>
            </w:rPr>
            <w:fldChar w:fldCharType="separate"/>
          </w:r>
          <w:r>
            <w:rPr>
              <w:sz w:val="28"/>
            </w:rPr>
            <w:t>7</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"_Toc170551919" </w:instrText>
          </w:r>
          <w:r>
            <w:fldChar w:fldCharType="separate"/>
          </w:r>
          <w:r>
            <w:rPr>
              <w:rFonts w:eastAsia="楷体_GB2312"/>
              <w:color w:val="auto"/>
              <w:sz w:val="28"/>
            </w:rPr>
            <w:t>（四）教育帮扶特色逐渐凸显</w:t>
          </w:r>
          <w:r>
            <w:rPr>
              <w:sz w:val="28"/>
            </w:rPr>
            <w:tab/>
          </w:r>
          <w:r>
            <w:rPr>
              <w:sz w:val="28"/>
            </w:rPr>
            <w:fldChar w:fldCharType="begin"/>
          </w:r>
          <w:r>
            <w:rPr>
              <w:sz w:val="28"/>
            </w:rPr>
            <w:instrText xml:space="preserve"> PAGEREF _Toc170551919 \h </w:instrText>
          </w:r>
          <w:r>
            <w:rPr>
              <w:sz w:val="28"/>
            </w:rPr>
            <w:fldChar w:fldCharType="separate"/>
          </w:r>
          <w:r>
            <w:rPr>
              <w:sz w:val="28"/>
            </w:rPr>
            <w:t>7</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"_Toc170551920" </w:instrText>
          </w:r>
          <w:r>
            <w:fldChar w:fldCharType="separate"/>
          </w:r>
          <w:r>
            <w:rPr>
              <w:rFonts w:eastAsia="楷体_GB2312"/>
              <w:color w:val="auto"/>
              <w:sz w:val="28"/>
            </w:rPr>
            <w:t>（五）社区矫正对象满意度较高</w:t>
          </w:r>
          <w:r>
            <w:rPr>
              <w:sz w:val="28"/>
            </w:rPr>
            <w:tab/>
          </w:r>
          <w:r>
            <w:rPr>
              <w:sz w:val="28"/>
            </w:rPr>
            <w:fldChar w:fldCharType="begin"/>
          </w:r>
          <w:r>
            <w:rPr>
              <w:sz w:val="28"/>
            </w:rPr>
            <w:instrText xml:space="preserve"> PAGEREF _Toc170551920 \h </w:instrText>
          </w:r>
          <w:r>
            <w:rPr>
              <w:sz w:val="28"/>
            </w:rPr>
            <w:fldChar w:fldCharType="separate"/>
          </w:r>
          <w:r>
            <w:rPr>
              <w:sz w:val="28"/>
            </w:rPr>
            <w:t>8</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"_Toc170551921" </w:instrText>
          </w:r>
          <w:r>
            <w:fldChar w:fldCharType="separate"/>
          </w:r>
          <w:r>
            <w:rPr>
              <w:rFonts w:eastAsia="黑体"/>
              <w:color w:val="auto"/>
              <w:sz w:val="28"/>
            </w:rPr>
            <w:t>四、存在问题</w:t>
          </w:r>
          <w:r>
            <w:rPr>
              <w:sz w:val="28"/>
            </w:rPr>
            <w:tab/>
          </w:r>
          <w:r>
            <w:rPr>
              <w:sz w:val="28"/>
            </w:rPr>
            <w:fldChar w:fldCharType="begin"/>
          </w:r>
          <w:r>
            <w:rPr>
              <w:sz w:val="28"/>
            </w:rPr>
            <w:instrText xml:space="preserve"> PAGEREF _Toc170551921 \h </w:instrText>
          </w:r>
          <w:r>
            <w:rPr>
              <w:sz w:val="28"/>
            </w:rPr>
            <w:fldChar w:fldCharType="separate"/>
          </w:r>
          <w:r>
            <w:rPr>
              <w:sz w:val="28"/>
            </w:rPr>
            <w:t>8</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"_Toc170551922" </w:instrText>
          </w:r>
          <w:r>
            <w:fldChar w:fldCharType="separate"/>
          </w:r>
          <w:r>
            <w:rPr>
              <w:rFonts w:eastAsia="楷体_GB2312"/>
              <w:color w:val="auto"/>
              <w:sz w:val="28"/>
            </w:rPr>
            <w:t>（一）社工队伍建设有待提升</w:t>
          </w:r>
          <w:r>
            <w:rPr>
              <w:sz w:val="28"/>
            </w:rPr>
            <w:tab/>
          </w:r>
          <w:r>
            <w:rPr>
              <w:sz w:val="28"/>
            </w:rPr>
            <w:fldChar w:fldCharType="begin"/>
          </w:r>
          <w:r>
            <w:rPr>
              <w:sz w:val="28"/>
            </w:rPr>
            <w:instrText xml:space="preserve"> PAGEREF _Toc170551922 \h </w:instrText>
          </w:r>
          <w:r>
            <w:rPr>
              <w:sz w:val="28"/>
            </w:rPr>
            <w:fldChar w:fldCharType="separate"/>
          </w:r>
          <w:r>
            <w:rPr>
              <w:sz w:val="28"/>
            </w:rPr>
            <w:t>8</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"_Toc170551923" </w:instrText>
          </w:r>
          <w:r>
            <w:fldChar w:fldCharType="separate"/>
          </w:r>
          <w:r>
            <w:rPr>
              <w:rFonts w:eastAsia="楷体_GB2312"/>
              <w:color w:val="auto"/>
              <w:sz w:val="28"/>
            </w:rPr>
            <w:t>（二）社区矫正工作质量仍需提高</w:t>
          </w:r>
          <w:r>
            <w:rPr>
              <w:sz w:val="28"/>
            </w:rPr>
            <w:tab/>
          </w:r>
          <w:r>
            <w:rPr>
              <w:sz w:val="28"/>
            </w:rPr>
            <w:fldChar w:fldCharType="begin"/>
          </w:r>
          <w:r>
            <w:rPr>
              <w:sz w:val="28"/>
            </w:rPr>
            <w:instrText xml:space="preserve"> PAGEREF _Toc170551923 \h </w:instrText>
          </w:r>
          <w:r>
            <w:rPr>
              <w:sz w:val="28"/>
            </w:rPr>
            <w:fldChar w:fldCharType="separate"/>
          </w:r>
          <w:r>
            <w:rPr>
              <w:sz w:val="28"/>
            </w:rPr>
            <w:t>9</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"_Toc170551924" </w:instrText>
          </w:r>
          <w:r>
            <w:fldChar w:fldCharType="separate"/>
          </w:r>
          <w:r>
            <w:rPr>
              <w:rFonts w:eastAsia="楷体_GB2312"/>
              <w:color w:val="auto"/>
              <w:sz w:val="28"/>
            </w:rPr>
            <w:t>（三）项目管理需进一步加强</w:t>
          </w:r>
          <w:r>
            <w:rPr>
              <w:sz w:val="28"/>
            </w:rPr>
            <w:tab/>
          </w:r>
          <w:r>
            <w:rPr>
              <w:sz w:val="28"/>
            </w:rPr>
            <w:fldChar w:fldCharType="begin"/>
          </w:r>
          <w:r>
            <w:rPr>
              <w:sz w:val="28"/>
            </w:rPr>
            <w:instrText xml:space="preserve"> PAGEREF _Toc170551924 \h </w:instrText>
          </w:r>
          <w:r>
            <w:rPr>
              <w:sz w:val="28"/>
            </w:rPr>
            <w:fldChar w:fldCharType="separate"/>
          </w:r>
          <w:r>
            <w:rPr>
              <w:sz w:val="28"/>
            </w:rPr>
            <w:t>10</w:t>
          </w:r>
          <w:r>
            <w:rPr>
              <w:sz w:val="28"/>
            </w:rPr>
            <w:fldChar w:fldCharType="end"/>
          </w:r>
          <w:r>
            <w:rPr>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"_Toc170551925" </w:instrText>
          </w:r>
          <w:r>
            <w:fldChar w:fldCharType="separate"/>
          </w:r>
          <w:r>
            <w:rPr>
              <w:rFonts w:ascii="Times New Roman" w:eastAsia="仿宋_GB2312" w:hAnsi="Times New Roman"/>
              <w:bCs/>
              <w:color w:val="auto"/>
              <w:sz w:val="28"/>
            </w:rPr>
            <w:t>1.资金支出结构有待优化</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_Toc170551925 \h </w:instrText>
          </w:r>
          <w:r>
            <w:rPr>
              <w:rFonts w:ascii="Times New Roman" w:hAnsi="Times New Roman"/>
              <w:sz w:val="28"/>
            </w:rPr>
            <w:fldChar w:fldCharType="separate"/>
          </w:r>
          <w:r>
            <w:rPr>
              <w:rFonts w:ascii="Times New Roman" w:hAnsi="Times New Roman"/>
              <w:sz w:val="28"/>
            </w:rPr>
            <w:t>10</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"_Toc170551926" </w:instrText>
          </w:r>
          <w:r>
            <w:fldChar w:fldCharType="separate"/>
          </w:r>
          <w:r>
            <w:rPr>
              <w:rFonts w:ascii="Times New Roman" w:eastAsia="仿宋_GB2312" w:hAnsi="Times New Roman"/>
              <w:bCs/>
              <w:color w:val="auto"/>
              <w:sz w:val="28"/>
            </w:rPr>
            <w:t>2.绩效管理仍需加强</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_Toc170551926 \h </w:instrText>
          </w:r>
          <w:r>
            <w:rPr>
              <w:rFonts w:ascii="Times New Roman" w:hAnsi="Times New Roman"/>
              <w:sz w:val="28"/>
            </w:rPr>
            <w:fldChar w:fldCharType="separate"/>
          </w:r>
          <w:r>
            <w:rPr>
              <w:rFonts w:ascii="Times New Roman" w:hAnsi="Times New Roman"/>
              <w:sz w:val="28"/>
            </w:rPr>
            <w:t>11</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"_Toc170551927" </w:instrText>
          </w:r>
          <w:r>
            <w:fldChar w:fldCharType="separate"/>
          </w:r>
          <w:r>
            <w:rPr>
              <w:rFonts w:eastAsia="黑体"/>
              <w:color w:val="auto"/>
              <w:sz w:val="28"/>
            </w:rPr>
            <w:t>五、有关建议</w:t>
          </w:r>
          <w:r>
            <w:rPr>
              <w:sz w:val="28"/>
            </w:rPr>
            <w:tab/>
          </w:r>
          <w:r>
            <w:rPr>
              <w:sz w:val="28"/>
            </w:rPr>
            <w:fldChar w:fldCharType="begin"/>
          </w:r>
          <w:r>
            <w:rPr>
              <w:sz w:val="28"/>
            </w:rPr>
            <w:instrText xml:space="preserve"> PAGEREF _Toc170551927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"_Toc170551928" </w:instrText>
          </w:r>
          <w:r>
            <w:fldChar w:fldCharType="separate"/>
          </w:r>
          <w:r>
            <w:rPr>
              <w:rFonts w:eastAsia="楷体_GB2312"/>
              <w:color w:val="auto"/>
              <w:sz w:val="28"/>
            </w:rPr>
            <w:t>（一）加强社矫队伍建设</w:t>
          </w:r>
          <w:r>
            <w:rPr>
              <w:sz w:val="28"/>
            </w:rPr>
            <w:tab/>
          </w:r>
          <w:r>
            <w:rPr>
              <w:sz w:val="28"/>
            </w:rPr>
            <w:fldChar w:fldCharType="begin"/>
          </w:r>
          <w:r>
            <w:rPr>
              <w:sz w:val="28"/>
            </w:rPr>
            <w:instrText xml:space="preserve"> PAGEREF _Toc170551928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"_Toc170551929" </w:instrText>
          </w:r>
          <w:r>
            <w:fldChar w:fldCharType="separate"/>
          </w:r>
          <w:r>
            <w:rPr>
              <w:rFonts w:eastAsia="楷体_GB2312"/>
              <w:color w:val="auto"/>
              <w:sz w:val="28"/>
            </w:rPr>
            <w:t>（二）提高社区矫正工作质量</w:t>
          </w:r>
          <w:r>
            <w:rPr>
              <w:sz w:val="28"/>
            </w:rPr>
            <w:tab/>
          </w:r>
          <w:r>
            <w:rPr>
              <w:sz w:val="28"/>
            </w:rPr>
            <w:fldChar w:fldCharType="begin"/>
          </w:r>
          <w:r>
            <w:rPr>
              <w:sz w:val="28"/>
            </w:rPr>
            <w:instrText xml:space="preserve"> PAGEREF _Toc170551929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"_Toc170551930" </w:instrText>
          </w:r>
          <w:r>
            <w:fldChar w:fldCharType="separate"/>
          </w:r>
          <w:r>
            <w:rPr>
              <w:rFonts w:eastAsia="楷体_GB2312"/>
              <w:color w:val="auto"/>
              <w:sz w:val="28"/>
            </w:rPr>
            <w:t>（三）进一步加强项目管理</w:t>
          </w:r>
          <w:r>
            <w:rPr>
              <w:sz w:val="28"/>
            </w:rPr>
            <w:tab/>
          </w:r>
          <w:r>
            <w:rPr>
              <w:sz w:val="28"/>
            </w:rPr>
            <w:fldChar w:fldCharType="begin"/>
          </w:r>
          <w:r>
            <w:rPr>
              <w:sz w:val="28"/>
            </w:rPr>
            <w:instrText xml:space="preserve"> PAGEREF _Toc170551930 \h </w:instrText>
          </w:r>
          <w:r>
            <w:rPr>
              <w:sz w:val="28"/>
            </w:rPr>
            <w:fldChar w:fldCharType="separate"/>
          </w:r>
          <w:r>
            <w:rPr>
              <w:sz w:val="28"/>
            </w:rPr>
            <w:t>12</w:t>
          </w:r>
          <w:r>
            <w:rPr>
              <w:sz w:val="28"/>
            </w:rPr>
            <w:fldChar w:fldCharType="end"/>
          </w:r>
          <w:r>
            <w:rPr>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"_Toc170551931" </w:instrText>
          </w:r>
          <w:r>
            <w:fldChar w:fldCharType="separate"/>
          </w:r>
          <w:r>
            <w:rPr>
              <w:rFonts w:ascii="Times New Roman" w:eastAsia="仿宋_GB2312" w:hAnsi="Times New Roman"/>
              <w:color w:val="auto"/>
              <w:sz w:val="28"/>
            </w:rPr>
            <w:t>1.优化资金支出结构，提高资金使用效率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_Toc170551931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"_Toc170551932" </w:instrText>
          </w:r>
          <w:r>
            <w:fldChar w:fldCharType="separate"/>
          </w:r>
          <w:r>
            <w:rPr>
              <w:rFonts w:ascii="Times New Roman" w:eastAsia="仿宋_GB2312" w:hAnsi="Times New Roman"/>
              <w:color w:val="auto"/>
              <w:sz w:val="28"/>
            </w:rPr>
            <w:t>2.加强绩效管理，切实发挥绩效指引作用</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_Toc170551932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"_Toc170551933" </w:instrText>
          </w:r>
          <w:r>
            <w:fldChar w:fldCharType="separate"/>
          </w:r>
          <w:r>
            <w:rPr>
              <w:rFonts w:eastAsia="黑体"/>
              <w:color w:val="auto"/>
              <w:sz w:val="28"/>
            </w:rPr>
            <w:t>六、评价工作开展情况及其他需说明的情况</w:t>
          </w:r>
          <w:r>
            <w:rPr>
              <w:sz w:val="28"/>
            </w:rPr>
            <w:tab/>
          </w:r>
          <w:r>
            <w:rPr>
              <w:sz w:val="28"/>
            </w:rPr>
            <w:fldChar w:fldCharType="begin"/>
          </w:r>
          <w:r>
            <w:rPr>
              <w:sz w:val="28"/>
            </w:rPr>
            <w:instrText xml:space="preserve"> PAGEREF _Toc170551933 \h </w:instrText>
          </w:r>
          <w:r>
            <w:rPr>
              <w:sz w:val="28"/>
            </w:rPr>
            <w:fldChar w:fldCharType="separate"/>
          </w:r>
          <w:r>
            <w:rPr>
              <w:sz w:val="28"/>
            </w:rPr>
            <w:t>12</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"_Toc170551934" </w:instrText>
          </w:r>
          <w:r>
            <w:fldChar w:fldCharType="separate"/>
          </w:r>
          <w:r>
            <w:rPr>
              <w:rFonts w:eastAsia="楷体_GB2312"/>
              <w:color w:val="auto"/>
              <w:sz w:val="28"/>
            </w:rPr>
            <w:t>（一）评价思路</w:t>
          </w:r>
          <w:r>
            <w:rPr>
              <w:sz w:val="28"/>
            </w:rPr>
            <w:tab/>
          </w:r>
          <w:r>
            <w:rPr>
              <w:sz w:val="28"/>
            </w:rPr>
            <w:fldChar w:fldCharType="begin"/>
          </w:r>
          <w:r>
            <w:rPr>
              <w:sz w:val="28"/>
            </w:rPr>
            <w:instrText xml:space="preserve"> PAGEREF _Toc170551934 \h </w:instrText>
          </w:r>
          <w:r>
            <w:rPr>
              <w:sz w:val="28"/>
            </w:rPr>
            <w:fldChar w:fldCharType="separate"/>
          </w:r>
          <w:r>
            <w:rPr>
              <w:sz w:val="28"/>
            </w:rPr>
            <w:t>12</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"_Toc170551935" </w:instrText>
          </w:r>
          <w:r>
            <w:fldChar w:fldCharType="separate"/>
          </w:r>
          <w:r>
            <w:rPr>
              <w:rFonts w:eastAsia="楷体_GB2312"/>
              <w:color w:val="auto"/>
              <w:sz w:val="28"/>
            </w:rPr>
            <w:t>（二）评价依据</w:t>
          </w:r>
          <w:r>
            <w:rPr>
              <w:sz w:val="28"/>
            </w:rPr>
            <w:tab/>
          </w:r>
          <w:r>
            <w:rPr>
              <w:sz w:val="28"/>
            </w:rPr>
            <w:fldChar w:fldCharType="begin"/>
          </w:r>
          <w:r>
            <w:rPr>
              <w:sz w:val="28"/>
            </w:rPr>
            <w:instrText xml:space="preserve"> PAGEREF _Toc170551935 \h </w:instrText>
          </w:r>
          <w:r>
            <w:rPr>
              <w:sz w:val="28"/>
            </w:rPr>
            <w:fldChar w:fldCharType="separate"/>
          </w:r>
          <w:r>
            <w:rPr>
              <w:sz w:val="28"/>
            </w:rPr>
            <w:t>13</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"_Toc170551936" </w:instrText>
          </w:r>
          <w:r>
            <w:fldChar w:fldCharType="separate"/>
          </w:r>
          <w:r>
            <w:rPr>
              <w:rFonts w:eastAsia="黑体"/>
              <w:color w:val="auto"/>
              <w:sz w:val="28"/>
            </w:rPr>
            <w:t>七、附件</w:t>
          </w:r>
          <w:r>
            <w:rPr>
              <w:sz w:val="28"/>
            </w:rPr>
            <w:tab/>
          </w:r>
          <w:r>
            <w:rPr>
              <w:sz w:val="28"/>
            </w:rPr>
            <w:fldChar w:fldCharType="begin"/>
          </w:r>
          <w:r>
            <w:rPr>
              <w:sz w:val="28"/>
            </w:rPr>
            <w:instrText xml:space="preserve"> PAGEREF _Toc170551936 \h </w:instrText>
          </w:r>
          <w:r>
            <w:rPr>
              <w:sz w:val="28"/>
            </w:rPr>
            <w:fldChar w:fldCharType="separate"/>
          </w:r>
          <w:r>
            <w:rPr>
              <w:sz w:val="28"/>
            </w:rPr>
            <w:t>13</w:t>
          </w:r>
          <w:r>
            <w:rPr>
              <w:sz w:val="28"/>
            </w:rPr>
            <w:fldChar w:fldCharType="end"/>
          </w:r>
          <w:r>
            <w:rPr>
              <w:sz w:val="28"/>
            </w:rPr>
            <w:fldChar w:fldCharType="end"/>
          </w:r>
        </w:p>
        <w:p>
          <w:pPr>
            <w:pStyle w:val="25"/>
            <w:tabs>
              <w:tab w:val="right" w:leader="dot" w:pos="8636"/>
            </w:tabs>
            <w:spacing w:line="600" w:lineRule="exact"/>
            <w:ind w:leftChars="0" w:left="0" w:firstLineChars="0" w:firstLine="420"/>
            <w:rPr>
              <w:rFonts w:eastAsia="等线" w:cs="Arial"/>
              <w:sz w:val="28"/>
              <w:szCs w:val="22"/>
            </w:rPr>
          </w:pPr>
          <w:r>
            <w:rPr>
              <w:rStyle w:val="29"/>
              <w:rFonts w:hint="eastAsia"/>
              <w:color w:val="auto"/>
              <w:sz w:val="28"/>
              <w:u w:val="none"/>
            </w:rPr>
            <w:t>附件1</w:t>
          </w:r>
          <w:r>
            <w:rPr>
              <w:rStyle w:val="29"/>
              <w:color w:val="auto"/>
              <w:sz w:val="28"/>
              <w:u w:val="none"/>
            </w:rPr>
            <w:t xml:space="preserve">  </w:t>
          </w:r>
          <w:r>
            <w:fldChar w:fldCharType="begin"/>
          </w:r>
          <w:r>
            <w:instrText xml:space="preserve"> HYPERLINK \l "_Toc170551937" </w:instrText>
          </w:r>
          <w:r>
            <w:fldChar w:fldCharType="separate"/>
          </w:r>
          <w:r>
            <w:rPr>
              <w:rFonts w:eastAsia="仿宋_GB2312"/>
              <w:color w:val="auto"/>
              <w:sz w:val="28"/>
            </w:rPr>
            <w:t>2023年南京市社区矫正专项资金绩效评价评分表</w:t>
          </w:r>
          <w:r>
            <w:rPr>
              <w:sz w:val="28"/>
            </w:rPr>
            <w:tab/>
          </w:r>
          <w:r>
            <w:rPr>
              <w:sz w:val="28"/>
            </w:rPr>
            <w:fldChar w:fldCharType="begin"/>
          </w:r>
          <w:r>
            <w:rPr>
              <w:sz w:val="28"/>
            </w:rPr>
            <w:instrText xml:space="preserve"> PAGEREF _Toc170551937 \h </w:instrText>
          </w:r>
          <w:r>
            <w:rPr>
              <w:sz w:val="28"/>
            </w:rPr>
            <w:fldChar w:fldCharType="separate"/>
          </w:r>
          <w:r>
            <w:rPr>
              <w:sz w:val="28"/>
            </w:rPr>
            <w:t>14</w:t>
          </w:r>
          <w:r>
            <w:rPr>
              <w:sz w:val="28"/>
            </w:rPr>
            <w:fldChar w:fldCharType="end"/>
          </w:r>
          <w:r>
            <w:rPr>
              <w:sz w:val="28"/>
            </w:rPr>
            <w:fldChar w:fldCharType="end"/>
          </w:r>
        </w:p>
        <w:p>
          <w:pPr>
            <w:pStyle w:val="23"/>
            <w:tabs>
              <w:tab w:val="right" w:leader="dot" w:pos="8636"/>
            </w:tabs>
            <w:spacing w:line="600" w:lineRule="exact"/>
            <w:ind w:firstLineChars="0" w:firstLine="0"/>
            <w:rPr>
              <w:lang w:val="zh-CN"/>
            </w:rPr>
          </w:pPr>
          <w:r>
            <w:rPr>
              <w:rFonts w:eastAsia="仿宋_GB2312" w:hint="eastAsia"/>
              <w:sz w:val="28"/>
              <w:szCs w:val="28"/>
              <w:lang w:val="zh-CN"/>
            </w:rPr>
            <w:fldChar w:fldCharType="end"/>
          </w:r>
        </w:p>
      </w:sdtContent>
    </w:sdt>
    <w:p>
      <w:pPr>
        <w:widowControl/>
        <w:spacing w:line="600" w:lineRule="exact"/>
        <w:ind w:firstLineChars="0" w:firstLine="0"/>
        <w:rPr>
          <w:rFonts w:eastAsia="仿宋_GB2312"/>
          <w:szCs w:val="32"/>
        </w:rPr>
        <w:sectPr>
          <w:footerReference w:type="default" r:id="rId4"/>
          <w:pgSz w:w="12240" w:h="15840"/>
          <w:pgMar w:top="1440" w:right="1797" w:bottom="1440" w:left="1797" w:header="720" w:footer="720" w:gutter="0"/>
          <w:pgNumType w:start="1"/>
          <w:docGrid w:linePitch="286" w:charSpace="0"/>
        </w:sectPr>
      </w:pPr>
    </w:p>
    <w:p>
      <w:pPr>
        <w:widowControl/>
        <w:spacing w:line="600" w:lineRule="exact"/>
        <w:rPr>
          <w:rFonts w:eastAsia="仿宋_GB2312"/>
          <w:szCs w:val="32"/>
        </w:rPr>
      </w:pPr>
      <w:r>
        <w:rPr>
          <w:rFonts w:eastAsia="仿宋_GB2312" w:hint="eastAsia"/>
          <w:szCs w:val="32"/>
        </w:rPr>
        <w:t>为加强预算绩效管理，强化预算支出责任，提高财政资金使用效率和效益，我司受</w:t>
      </w:r>
      <w:r>
        <w:rPr>
          <w:rFonts w:eastAsia="仿宋_GB2312" w:hint="eastAsia"/>
          <w:bCs/>
          <w:szCs w:val="32"/>
        </w:rPr>
        <w:t>南京市司法局</w:t>
      </w:r>
      <w:r>
        <w:rPr>
          <w:rFonts w:eastAsia="仿宋_GB2312"/>
          <w:bCs/>
          <w:szCs w:val="32"/>
        </w:rPr>
        <w:t>委托</w:t>
      </w:r>
      <w:r>
        <w:rPr>
          <w:rFonts w:eastAsia="仿宋_GB2312" w:hint="eastAsia"/>
          <w:szCs w:val="32"/>
        </w:rPr>
        <w:t>，依据《项目支出绩效评价管理办法》（财预〔2020〕10号）、《南京市市级财政预算绩效评价操作规程（试行）》（宁财绩〔2020〕260号）等文件，对</w:t>
      </w:r>
      <w:r>
        <w:rPr>
          <w:rFonts w:eastAsia="仿宋_GB2312" w:hint="eastAsia"/>
          <w:bCs/>
          <w:szCs w:val="32"/>
        </w:rPr>
        <w:t>2023年南京市城市警备防务与基层政法经常性补助——社区矫正专项资金（简称“社区矫正专项资金”）</w:t>
      </w:r>
      <w:r>
        <w:rPr>
          <w:rFonts w:eastAsia="仿宋_GB2312" w:hint="eastAsia"/>
          <w:szCs w:val="32"/>
        </w:rPr>
        <w:t>开展绩效评价。现将评价情况及结果报告如下：</w:t>
      </w:r>
    </w:p>
    <w:p>
      <w:pPr>
        <w:pStyle w:val="1"/>
        <w:spacing w:beforeLines="0" w:before="0" w:afterLines="0" w:after="0" w:line="600" w:lineRule="exact"/>
        <w:rPr>
          <w:rFonts w:ascii="Times New Roman" w:eastAsia="黑体" w:hAnsi="Times New Roman"/>
          <w:b w:val="0"/>
          <w:szCs w:val="32"/>
        </w:rPr>
      </w:pPr>
      <w:bookmarkStart w:id="2" w:name="_Toc81781082"/>
      <w:bookmarkStart w:id="3" w:name="_Toc27750"/>
      <w:bookmarkStart w:id="4" w:name="_Toc170551904"/>
      <w:r>
        <w:rPr>
          <w:rFonts w:ascii="Times New Roman" w:eastAsia="黑体" w:hAnsi="Times New Roman"/>
          <w:b w:val="0"/>
          <w:szCs w:val="32"/>
        </w:rPr>
        <w:t>一、项目</w:t>
      </w:r>
      <w:bookmarkStart w:id="5" w:name="_Toc81781083"/>
      <w:bookmarkEnd w:id="2"/>
      <w:r>
        <w:rPr>
          <w:rFonts w:ascii="Times New Roman" w:eastAsia="黑体" w:hAnsi="Times New Roman"/>
          <w:b w:val="0"/>
          <w:szCs w:val="32"/>
        </w:rPr>
        <w:t>概况</w:t>
      </w:r>
      <w:bookmarkEnd w:id="3"/>
      <w:bookmarkEnd w:id="4"/>
    </w:p>
    <w:p>
      <w:pPr>
        <w:pStyle w:val="2"/>
        <w:spacing w:beforeLines="0" w:before="0" w:afterLines="0" w:after="0" w:line="600" w:lineRule="exact"/>
        <w:rPr>
          <w:rFonts w:ascii="Times New Roman" w:eastAsia="楷体_GB2312" w:cs="Times New Roman" w:hAnsi="Times New Roman"/>
        </w:rPr>
      </w:pPr>
      <w:bookmarkStart w:id="6" w:name="_Toc17857"/>
      <w:bookmarkStart w:id="7" w:name="_Toc170551905"/>
      <w:r>
        <w:rPr>
          <w:rFonts w:ascii="Times New Roman" w:eastAsia="楷体_GB2312" w:cs="Times New Roman" w:hAnsi="Times New Roman"/>
        </w:rPr>
        <w:t>（一）项目</w:t>
      </w:r>
      <w:bookmarkEnd w:id="5"/>
      <w:bookmarkEnd w:id="6"/>
      <w:r>
        <w:rPr>
          <w:rFonts w:ascii="Times New Roman" w:eastAsia="楷体_GB2312" w:cs="Times New Roman" w:hAnsi="Times New Roman" w:hint="eastAsia"/>
        </w:rPr>
        <w:t>基本情况</w:t>
      </w:r>
      <w:bookmarkEnd w:id="7"/>
    </w:p>
    <w:p>
      <w:pPr>
        <w:spacing w:line="600" w:lineRule="exact"/>
        <w:outlineLvl w:val="2"/>
        <w:rPr>
          <w:rFonts w:eastAsia="仿宋_GB2312"/>
          <w:b/>
          <w:szCs w:val="32"/>
        </w:rPr>
      </w:pPr>
      <w:bookmarkStart w:id="8" w:name="_Toc170551906"/>
      <w:bookmarkStart w:id="9" w:name="_Toc170069400"/>
      <w:bookmarkStart w:id="10" w:name="_Toc374"/>
      <w:bookmarkStart w:id="11" w:name="_Toc81781085"/>
      <w:r>
        <w:rPr>
          <w:rFonts w:eastAsia="仿宋_GB2312" w:hint="eastAsia"/>
          <w:b/>
          <w:szCs w:val="32"/>
        </w:rPr>
        <w:t>1．立项背景和目的</w:t>
      </w:r>
      <w:bookmarkEnd w:id="8"/>
      <w:bookmarkEnd w:id="9"/>
    </w:p>
    <w:p>
      <w:pPr>
        <w:spacing w:line="600" w:lineRule="exact"/>
        <w:rPr>
          <w:rFonts w:eastAsia="仿宋_GB2312"/>
          <w:szCs w:val="32"/>
        </w:rPr>
      </w:pPr>
      <w:r>
        <w:rPr>
          <w:rFonts w:eastAsia="仿宋_GB2312"/>
          <w:szCs w:val="32"/>
        </w:rPr>
        <w:t>社区矫正工作对维护社会和谐稳定至关重要。2012年1月，最高人民法院、最高人民检察院、公安部、司法部（以下简称“两院两部”）联合印发《</w:t>
      </w:r>
      <w:r>
        <w:rPr>
          <w:rFonts w:eastAsia="仿宋_GB2312" w:hint="eastAsia"/>
          <w:szCs w:val="32"/>
        </w:rPr>
        <w:t>中华人民共和国</w:t>
      </w:r>
      <w:r>
        <w:rPr>
          <w:rFonts w:eastAsia="仿宋_GB2312"/>
          <w:szCs w:val="32"/>
        </w:rPr>
        <w:t>社区矫正</w:t>
      </w:r>
      <w:r>
        <w:rPr>
          <w:rFonts w:eastAsia="仿宋_GB2312" w:hint="eastAsia"/>
          <w:szCs w:val="32"/>
          <w:lang w:val="en-US" w:eastAsia="zh-CN"/>
        </w:rPr>
        <w:t>法</w:t>
      </w:r>
      <w:r>
        <w:rPr>
          <w:rFonts w:eastAsia="仿宋_GB2312"/>
          <w:szCs w:val="32"/>
        </w:rPr>
        <w:t>实施办法》（司发通〔2012〕12号），明确司法部门的法律主体地位，全面规范社区矫正工作流程</w:t>
      </w:r>
      <w:r>
        <w:rPr>
          <w:rFonts w:eastAsia="仿宋_GB2312" w:hint="eastAsia"/>
          <w:szCs w:val="32"/>
        </w:rPr>
        <w:t>。</w:t>
      </w:r>
      <w:r>
        <w:rPr>
          <w:rFonts w:eastAsia="仿宋_GB2312"/>
          <w:szCs w:val="32"/>
        </w:rPr>
        <w:t>2019年12月，全国人民代表大会通过《中华人民共和国社区矫正法》，将社区矫正的具体运行规范提高到法律层面，形成具有中国特色的社区矫正制度</w:t>
      </w:r>
      <w:r>
        <w:rPr>
          <w:rFonts w:eastAsia="仿宋_GB2312" w:hint="eastAsia"/>
          <w:szCs w:val="32"/>
        </w:rPr>
        <w:t>。2</w:t>
      </w:r>
      <w:r>
        <w:rPr>
          <w:rFonts w:eastAsia="仿宋_GB2312"/>
          <w:szCs w:val="32"/>
        </w:rPr>
        <w:t>022</w:t>
      </w:r>
      <w:r>
        <w:rPr>
          <w:rFonts w:eastAsia="仿宋_GB2312" w:hint="eastAsia"/>
          <w:szCs w:val="32"/>
        </w:rPr>
        <w:t>年1</w:t>
      </w:r>
      <w:r>
        <w:rPr>
          <w:rFonts w:eastAsia="仿宋_GB2312"/>
          <w:szCs w:val="32"/>
        </w:rPr>
        <w:t>1</w:t>
      </w:r>
      <w:r>
        <w:rPr>
          <w:rFonts w:eastAsia="仿宋_GB2312" w:hint="eastAsia"/>
          <w:szCs w:val="32"/>
        </w:rPr>
        <w:t>月，江苏省</w:t>
      </w:r>
      <w:r>
        <w:rPr>
          <w:rFonts w:eastAsia="仿宋_GB2312"/>
          <w:szCs w:val="32"/>
        </w:rPr>
        <w:t>两院两部</w:t>
      </w:r>
      <w:r>
        <w:rPr>
          <w:rFonts w:eastAsia="仿宋_GB2312" w:hint="eastAsia"/>
          <w:szCs w:val="32"/>
        </w:rPr>
        <w:t>联合制定</w:t>
      </w:r>
      <w:r>
        <w:rPr>
          <w:rFonts w:eastAsia="仿宋_GB2312"/>
          <w:szCs w:val="32"/>
        </w:rPr>
        <w:t>《江苏省社区矫正工作</w:t>
      </w:r>
      <w:r>
        <w:rPr>
          <w:rFonts w:eastAsia="仿宋_GB2312" w:hint="eastAsia"/>
          <w:szCs w:val="32"/>
        </w:rPr>
        <w:t>实施细则</w:t>
      </w:r>
      <w:r>
        <w:rPr>
          <w:rFonts w:eastAsia="仿宋_GB2312"/>
          <w:szCs w:val="32"/>
        </w:rPr>
        <w:t>》（苏司通〔2022〕23号）</w:t>
      </w:r>
      <w:r>
        <w:rPr>
          <w:rFonts w:eastAsia="仿宋_GB2312" w:hint="eastAsia"/>
          <w:szCs w:val="32"/>
        </w:rPr>
        <w:t>，规定调查评估、交付接收、监督监管等社区矫正工作的具体流程，2</w:t>
      </w:r>
      <w:r>
        <w:rPr>
          <w:rFonts w:eastAsia="仿宋_GB2312"/>
          <w:szCs w:val="32"/>
        </w:rPr>
        <w:t>023</w:t>
      </w:r>
      <w:r>
        <w:rPr>
          <w:rFonts w:eastAsia="仿宋_GB2312" w:hint="eastAsia"/>
          <w:szCs w:val="32"/>
        </w:rPr>
        <w:t>年南京市据此继续开展社区矫正工作。</w:t>
      </w:r>
    </w:p>
    <w:p>
      <w:pPr>
        <w:spacing w:line="600" w:lineRule="exact"/>
        <w:rPr>
          <w:rFonts w:eastAsia="仿宋_GB2312"/>
          <w:szCs w:val="32"/>
        </w:rPr>
      </w:pPr>
      <w:r>
        <w:rPr>
          <w:rFonts w:eastAsia="仿宋_GB2312"/>
          <w:szCs w:val="32"/>
        </w:rPr>
        <w:t>2022</w:t>
      </w:r>
      <w:r>
        <w:rPr>
          <w:rFonts w:eastAsia="仿宋_GB2312" w:hint="eastAsia"/>
          <w:szCs w:val="32"/>
        </w:rPr>
        <w:t>年4月，</w:t>
      </w:r>
      <w:r>
        <w:rPr>
          <w:rFonts w:eastAsia="仿宋_GB2312"/>
          <w:szCs w:val="32"/>
        </w:rPr>
        <w:t>南京市财政局</w:t>
      </w:r>
      <w:r>
        <w:rPr>
          <w:rFonts w:eastAsia="仿宋_GB2312" w:hint="eastAsia"/>
          <w:szCs w:val="32"/>
        </w:rPr>
        <w:t>、</w:t>
      </w:r>
      <w:r>
        <w:rPr>
          <w:rFonts w:eastAsia="仿宋_GB2312"/>
          <w:szCs w:val="32"/>
        </w:rPr>
        <w:t>市司法局联合</w:t>
      </w:r>
      <w:r>
        <w:rPr>
          <w:rFonts w:eastAsia="仿宋_GB2312" w:hint="eastAsia"/>
          <w:szCs w:val="32"/>
        </w:rPr>
        <w:t>出台</w:t>
      </w:r>
      <w:r>
        <w:rPr>
          <w:rFonts w:eastAsia="仿宋_GB2312"/>
          <w:szCs w:val="32"/>
        </w:rPr>
        <w:t>《南京市市级社区矫正补助专项资金管理办法》（宁财规〔2022〕2号），对社区矫正补助资金的经费来源、使用范围、使用管理、绩效管理和监督检查等方面做出具体规定。</w:t>
      </w:r>
    </w:p>
    <w:p>
      <w:pPr>
        <w:spacing w:line="600" w:lineRule="exact"/>
        <w:outlineLvl w:val="2"/>
        <w:rPr>
          <w:rFonts w:eastAsia="仿宋_GB2312"/>
          <w:b/>
          <w:szCs w:val="32"/>
        </w:rPr>
      </w:pPr>
      <w:bookmarkStart w:id="12" w:name="_Toc170069401"/>
      <w:bookmarkStart w:id="13" w:name="_Toc170551907"/>
      <w:bookmarkStart w:id="14" w:name="_Toc170551933"/>
      <w:bookmarkStart w:id="15" w:name="_Toc89066432"/>
      <w:bookmarkEnd w:id="10"/>
      <w:bookmarkEnd w:id="11"/>
      <w:r>
        <w:rPr>
          <w:rFonts w:eastAsia="仿宋_GB2312" w:hint="eastAsia"/>
          <w:b/>
          <w:szCs w:val="32"/>
        </w:rPr>
        <w:t>2．</w:t>
      </w:r>
      <w:r>
        <w:rPr>
          <w:rFonts w:eastAsia="仿宋_GB2312"/>
          <w:b/>
          <w:szCs w:val="32"/>
        </w:rPr>
        <w:t>项目内容</w:t>
      </w:r>
      <w:bookmarkEnd w:id="12"/>
      <w:bookmarkEnd w:id="13"/>
    </w:p>
    <w:p>
      <w:pPr>
        <w:spacing w:line="600" w:lineRule="exact"/>
        <w:rPr>
          <w:rFonts w:eastAsia="仿宋_GB2312"/>
          <w:szCs w:val="32"/>
        </w:rPr>
      </w:pPr>
      <w:r>
        <w:rPr>
          <w:rFonts w:eastAsia="仿宋_GB2312" w:hint="eastAsia"/>
          <w:bCs/>
          <w:szCs w:val="32"/>
        </w:rPr>
        <w:t>2023年南京市社区矫正专项资金</w:t>
      </w:r>
      <w:r>
        <w:rPr>
          <w:rFonts w:eastAsia="仿宋_GB2312"/>
          <w:bCs/>
          <w:szCs w:val="32"/>
        </w:rPr>
        <w:t>实施内容主要包括开展社会调查评估、建立社区矫正档案、开展日常监督管理、组织教育帮扶活动、办理矫正解除和终止等</w:t>
      </w:r>
      <w:r>
        <w:rPr>
          <w:rFonts w:eastAsia="仿宋_GB2312"/>
          <w:szCs w:val="32"/>
        </w:rPr>
        <w:t>。</w:t>
      </w:r>
      <w:bookmarkStart w:id="16" w:name="_Toc170551908"/>
    </w:p>
    <w:p>
      <w:pPr>
        <w:spacing w:line="600" w:lineRule="exact"/>
        <w:rPr>
          <w:rFonts w:ascii="Times New Roman" w:eastAsia="楷体_GB2312" w:cs="Times New Roman" w:hAnsi="Times New Roman"/>
        </w:rPr>
      </w:pPr>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）项目资金情况</w:t>
      </w:r>
      <w:bookmarkEnd w:id="16"/>
    </w:p>
    <w:p>
      <w:pPr>
        <w:spacing w:line="600" w:lineRule="exact"/>
        <w:rPr>
          <w:rFonts w:eastAsia="仿宋_GB2312"/>
          <w:kern w:val="0"/>
          <w:szCs w:val="32"/>
          <w:lang w:val="zh-CN"/>
        </w:rPr>
      </w:pPr>
      <w:r>
        <w:rPr>
          <w:rFonts w:eastAsia="仿宋_GB2312" w:hint="eastAsia"/>
          <w:kern w:val="0"/>
          <w:szCs w:val="32"/>
          <w:lang w:val="zh-CN"/>
        </w:rPr>
        <w:t>202</w:t>
      </w:r>
      <w:r>
        <w:rPr>
          <w:rFonts w:eastAsia="仿宋_GB2312"/>
          <w:kern w:val="0"/>
          <w:szCs w:val="32"/>
          <w:lang w:val="zh-CN"/>
        </w:rPr>
        <w:t>3</w:t>
      </w:r>
      <w:r>
        <w:rPr>
          <w:rFonts w:eastAsia="仿宋_GB2312" w:hint="eastAsia"/>
          <w:kern w:val="0"/>
          <w:szCs w:val="32"/>
          <w:lang w:val="zh-CN"/>
        </w:rPr>
        <w:t>年省、市、区三级财政部门共安排社区矫正专项资金</w:t>
      </w:r>
      <w:r>
        <w:rPr>
          <w:rFonts w:eastAsia="仿宋_GB2312"/>
          <w:kern w:val="0"/>
          <w:szCs w:val="32"/>
          <w:lang w:val="zh-CN"/>
        </w:rPr>
        <w:t>1869.55</w:t>
      </w:r>
      <w:r>
        <w:rPr>
          <w:rFonts w:eastAsia="仿宋_GB2312" w:hint="eastAsia"/>
          <w:kern w:val="0"/>
          <w:szCs w:val="32"/>
          <w:lang w:val="zh-CN"/>
        </w:rPr>
        <w:t>万元，其中：</w:t>
      </w:r>
      <w:r>
        <w:rPr>
          <w:rFonts w:eastAsia="仿宋_GB2312" w:hint="eastAsia"/>
          <w:kern w:val="0"/>
          <w:szCs w:val="32"/>
        </w:rPr>
        <w:t>省级资金</w:t>
      </w:r>
      <w:r>
        <w:rPr>
          <w:rFonts w:eastAsia="仿宋_GB2312"/>
          <w:kern w:val="0"/>
          <w:szCs w:val="32"/>
          <w:lang w:val="zh-CN"/>
        </w:rPr>
        <w:t>314</w:t>
      </w:r>
      <w:r>
        <w:rPr>
          <w:rFonts w:eastAsia="仿宋_GB2312" w:hint="eastAsia"/>
          <w:kern w:val="0"/>
          <w:szCs w:val="32"/>
          <w:lang w:val="zh-CN"/>
        </w:rPr>
        <w:t>万元，市</w:t>
      </w:r>
      <w:r>
        <w:rPr>
          <w:rFonts w:eastAsia="仿宋_GB2312" w:hint="eastAsia"/>
          <w:kern w:val="0"/>
          <w:szCs w:val="32"/>
        </w:rPr>
        <w:t>级资金</w:t>
      </w:r>
      <w:r>
        <w:rPr>
          <w:rFonts w:eastAsia="仿宋_GB2312"/>
          <w:kern w:val="0"/>
          <w:szCs w:val="32"/>
          <w:lang w:val="zh-CN"/>
        </w:rPr>
        <w:t>510</w:t>
      </w:r>
      <w:r>
        <w:rPr>
          <w:rFonts w:eastAsia="仿宋_GB2312" w:hint="eastAsia"/>
          <w:kern w:val="0"/>
          <w:szCs w:val="32"/>
          <w:lang w:val="zh-CN"/>
        </w:rPr>
        <w:t>万元，区级</w:t>
      </w:r>
      <w:r>
        <w:rPr>
          <w:rFonts w:eastAsia="仿宋_GB2312" w:hint="eastAsia"/>
          <w:kern w:val="0"/>
          <w:szCs w:val="32"/>
        </w:rPr>
        <w:t>资金</w:t>
      </w:r>
      <w:r>
        <w:rPr>
          <w:rFonts w:eastAsia="仿宋_GB2312"/>
          <w:kern w:val="0"/>
          <w:szCs w:val="32"/>
          <w:lang w:val="zh-CN"/>
        </w:rPr>
        <w:t>1045.55</w:t>
      </w:r>
      <w:r>
        <w:rPr>
          <w:rFonts w:eastAsia="仿宋_GB2312" w:hint="eastAsia"/>
          <w:kern w:val="0"/>
          <w:szCs w:val="32"/>
          <w:lang w:val="zh-CN"/>
        </w:rPr>
        <w:t>万元。202</w:t>
      </w:r>
      <w:r>
        <w:rPr>
          <w:rFonts w:eastAsia="仿宋_GB2312"/>
          <w:kern w:val="0"/>
          <w:szCs w:val="32"/>
          <w:lang w:val="zh-CN"/>
        </w:rPr>
        <w:t>3</w:t>
      </w:r>
      <w:r>
        <w:rPr>
          <w:rFonts w:eastAsia="仿宋_GB2312" w:hint="eastAsia"/>
          <w:kern w:val="0"/>
          <w:szCs w:val="32"/>
          <w:lang w:val="zh-CN"/>
        </w:rPr>
        <w:t>年</w:t>
      </w:r>
      <w:r>
        <w:rPr>
          <w:rFonts w:eastAsia="仿宋_GB2312" w:hint="eastAsia"/>
          <w:kern w:val="0"/>
          <w:szCs w:val="32"/>
        </w:rPr>
        <w:t>市级社区矫正</w:t>
      </w:r>
      <w:r>
        <w:rPr>
          <w:rFonts w:eastAsia="仿宋_GB2312" w:hint="eastAsia"/>
          <w:kern w:val="0"/>
          <w:szCs w:val="32"/>
          <w:lang w:val="zh-CN"/>
        </w:rPr>
        <w:t>专项资金预算安排</w:t>
      </w:r>
      <w:r>
        <w:rPr>
          <w:rFonts w:eastAsia="仿宋_GB2312"/>
          <w:kern w:val="0"/>
          <w:szCs w:val="32"/>
          <w:lang w:val="zh-CN"/>
        </w:rPr>
        <w:t>510</w:t>
      </w:r>
      <w:r>
        <w:rPr>
          <w:rFonts w:eastAsia="仿宋_GB2312" w:hint="eastAsia"/>
          <w:kern w:val="0"/>
          <w:szCs w:val="32"/>
          <w:lang w:val="zh-CN"/>
        </w:rPr>
        <w:t>万元，资金到位5</w:t>
      </w:r>
      <w:r>
        <w:rPr>
          <w:rFonts w:eastAsia="仿宋_GB2312"/>
          <w:kern w:val="0"/>
          <w:szCs w:val="32"/>
          <w:lang w:val="zh-CN"/>
        </w:rPr>
        <w:t>10</w:t>
      </w:r>
      <w:r>
        <w:rPr>
          <w:rFonts w:eastAsia="仿宋_GB2312" w:hint="eastAsia"/>
          <w:kern w:val="0"/>
          <w:szCs w:val="32"/>
          <w:lang w:val="zh-CN"/>
        </w:rPr>
        <w:t>万元，预算资金到位率1</w:t>
      </w:r>
      <w:r>
        <w:rPr>
          <w:rFonts w:eastAsia="仿宋_GB2312"/>
          <w:kern w:val="0"/>
          <w:szCs w:val="32"/>
          <w:lang w:val="zh-CN"/>
        </w:rPr>
        <w:t>00%</w:t>
      </w:r>
      <w:r>
        <w:rPr>
          <w:rFonts w:eastAsia="仿宋_GB2312" w:hint="eastAsia"/>
          <w:kern w:val="0"/>
          <w:szCs w:val="32"/>
          <w:lang w:val="zh-CN"/>
        </w:rPr>
        <w:t>；实际支出</w:t>
      </w:r>
      <w:r>
        <w:rPr>
          <w:rFonts w:eastAsia="仿宋_GB2312"/>
          <w:kern w:val="0"/>
          <w:szCs w:val="32"/>
          <w:lang w:val="zh-CN"/>
        </w:rPr>
        <w:t>510</w:t>
      </w:r>
      <w:r>
        <w:rPr>
          <w:rFonts w:eastAsia="仿宋_GB2312" w:hint="eastAsia"/>
          <w:kern w:val="0"/>
          <w:szCs w:val="32"/>
          <w:lang w:val="zh-CN"/>
        </w:rPr>
        <w:t>万元，预算执行率100%。</w:t>
      </w:r>
      <w:bookmarkStart w:id="17" w:name="_Toc170551909"/>
    </w:p>
    <w:p>
      <w:pPr>
        <w:spacing w:line="600" w:lineRule="exact"/>
        <w:rPr>
          <w:rFonts w:ascii="Times New Roman" w:eastAsia="楷体_GB2312" w:cs="Times New Roman" w:hAnsi="Times New Roman"/>
        </w:rPr>
      </w:pPr>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）绩效目标</w:t>
      </w:r>
      <w:bookmarkEnd w:id="17"/>
    </w:p>
    <w:p>
      <w:pPr>
        <w:spacing w:line="600" w:lineRule="exact"/>
        <w:outlineLvl w:val="2"/>
        <w:rPr>
          <w:rFonts w:eastAsia="仿宋_GB2312"/>
          <w:b/>
          <w:szCs w:val="32"/>
        </w:rPr>
      </w:pPr>
      <w:bookmarkStart w:id="18" w:name="_Toc170069404"/>
      <w:bookmarkStart w:id="19" w:name="_Toc170551910"/>
      <w:bookmarkStart w:id="20" w:name="_Toc81781090"/>
      <w:bookmarkStart w:id="21" w:name="_Toc18352"/>
      <w:r>
        <w:rPr>
          <w:rFonts w:eastAsia="仿宋_GB2312"/>
          <w:b/>
          <w:szCs w:val="32"/>
        </w:rPr>
        <w:t>1. 绩效</w:t>
      </w:r>
      <w:r>
        <w:rPr>
          <w:rFonts w:eastAsia="仿宋_GB2312" w:hint="eastAsia"/>
          <w:b/>
          <w:szCs w:val="32"/>
        </w:rPr>
        <w:t>中长期</w:t>
      </w:r>
      <w:r>
        <w:rPr>
          <w:rFonts w:eastAsia="仿宋_GB2312"/>
          <w:b/>
          <w:szCs w:val="32"/>
        </w:rPr>
        <w:t>目标</w:t>
      </w:r>
      <w:bookmarkEnd w:id="18"/>
      <w:bookmarkEnd w:id="19"/>
    </w:p>
    <w:p>
      <w:pPr>
        <w:spacing w:line="600" w:lineRule="exact"/>
        <w:rPr>
          <w:rFonts w:eastAsia="仿宋_GB2312"/>
          <w:bCs/>
          <w:szCs w:val="32"/>
        </w:rPr>
      </w:pPr>
      <w:r>
        <w:rPr>
          <w:rFonts w:eastAsia="仿宋_GB2312" w:hint="eastAsia"/>
          <w:bCs/>
          <w:szCs w:val="32"/>
        </w:rPr>
        <w:t>维护社会安全稳定，最大限度降低重新违法犯罪，促进罪犯再社会化为目标，完善矫正中心建设标准，打造流程化、区块化、窗口化实体平台，推进南京市社区矫正规范化、智能化和实战化建设。</w:t>
      </w:r>
    </w:p>
    <w:p>
      <w:pPr>
        <w:spacing w:line="600" w:lineRule="exact"/>
        <w:outlineLvl w:val="2"/>
        <w:rPr>
          <w:rFonts w:eastAsia="仿宋_GB2312"/>
          <w:b/>
          <w:szCs w:val="32"/>
        </w:rPr>
      </w:pPr>
      <w:bookmarkStart w:id="22" w:name="_Toc170069405"/>
      <w:bookmarkStart w:id="23" w:name="_Toc170551911"/>
      <w:r>
        <w:rPr>
          <w:rFonts w:eastAsia="仿宋_GB2312"/>
          <w:b/>
          <w:szCs w:val="32"/>
        </w:rPr>
        <w:t>2. 年绩效目标</w:t>
      </w:r>
      <w:bookmarkEnd w:id="22"/>
      <w:bookmarkEnd w:id="23"/>
    </w:p>
    <w:p>
      <w:pPr>
        <w:spacing w:line="600" w:lineRule="exact"/>
        <w:rPr>
          <w:rFonts w:eastAsia="仿宋_GB2312"/>
          <w:bCs/>
          <w:szCs w:val="32"/>
        </w:rPr>
      </w:pPr>
      <w:bookmarkStart w:id="24" w:name="_Toc89066408"/>
      <w:r>
        <w:rPr>
          <w:rFonts w:eastAsia="仿宋_GB2312" w:hint="eastAsia"/>
          <w:b/>
          <w:bCs/>
          <w:szCs w:val="32"/>
        </w:rPr>
        <w:t>一是</w:t>
      </w:r>
      <w:r>
        <w:rPr>
          <w:rFonts w:eastAsia="仿宋_GB2312" w:hint="eastAsia"/>
          <w:bCs/>
          <w:szCs w:val="32"/>
        </w:rPr>
        <w:t>完成全市1</w:t>
      </w:r>
      <w:r>
        <w:rPr>
          <w:rFonts w:eastAsia="仿宋_GB2312"/>
          <w:bCs/>
          <w:szCs w:val="32"/>
        </w:rPr>
        <w:t>2</w:t>
      </w:r>
      <w:r>
        <w:rPr>
          <w:rFonts w:eastAsia="仿宋_GB2312" w:hint="eastAsia"/>
          <w:bCs/>
          <w:szCs w:val="32"/>
        </w:rPr>
        <w:t>个区智慧矫正中心建设；</w:t>
      </w:r>
      <w:r>
        <w:rPr>
          <w:rFonts w:eastAsia="仿宋_GB2312" w:hint="eastAsia"/>
          <w:b/>
          <w:bCs/>
          <w:szCs w:val="32"/>
        </w:rPr>
        <w:t>二是</w:t>
      </w:r>
      <w:r>
        <w:rPr>
          <w:rFonts w:eastAsia="仿宋_GB2312" w:hint="eastAsia"/>
          <w:bCs/>
          <w:szCs w:val="32"/>
        </w:rPr>
        <w:t>及时完成受委托的调查评估</w:t>
      </w:r>
      <w:r>
        <w:rPr>
          <w:rFonts w:eastAsia="仿宋_GB2312"/>
          <w:bCs/>
          <w:szCs w:val="32"/>
        </w:rPr>
        <w:t>任务；</w:t>
      </w:r>
      <w:r>
        <w:rPr>
          <w:rFonts w:eastAsia="仿宋_GB2312" w:hint="eastAsia"/>
          <w:bCs/>
          <w:szCs w:val="32"/>
        </w:rPr>
        <w:t>三</w:t>
      </w:r>
      <w:r>
        <w:rPr>
          <w:rFonts w:eastAsia="仿宋_GB2312" w:hint="eastAsia"/>
          <w:b/>
          <w:bCs/>
          <w:szCs w:val="32"/>
        </w:rPr>
        <w:t>是</w:t>
      </w:r>
      <w:r>
        <w:rPr>
          <w:rFonts w:eastAsia="仿宋_GB2312" w:hint="eastAsia"/>
          <w:bCs/>
          <w:szCs w:val="32"/>
        </w:rPr>
        <w:t>确保全市</w:t>
      </w:r>
      <w:r>
        <w:rPr>
          <w:rFonts w:eastAsia="仿宋_GB2312"/>
          <w:bCs/>
          <w:szCs w:val="32"/>
        </w:rPr>
        <w:t>社区矫正</w:t>
      </w:r>
      <w:r>
        <w:rPr>
          <w:rFonts w:eastAsia="仿宋_GB2312" w:hint="eastAsia"/>
          <w:bCs/>
          <w:szCs w:val="32"/>
        </w:rPr>
        <w:t>对象应收尽收；</w:t>
      </w:r>
      <w:r>
        <w:rPr>
          <w:rFonts w:eastAsia="仿宋_GB2312" w:hint="eastAsia"/>
          <w:b/>
          <w:bCs/>
          <w:szCs w:val="32"/>
        </w:rPr>
        <w:t>四是</w:t>
      </w:r>
      <w:r>
        <w:rPr>
          <w:rFonts w:eastAsia="仿宋_GB2312"/>
          <w:bCs/>
          <w:szCs w:val="32"/>
        </w:rPr>
        <w:t>加强对社区矫正对象的日常监管，矫正对象定位覆盖率达100%，社区矫正对象在矫期间重新犯罪率</w:t>
      </w:r>
      <w:r>
        <w:rPr>
          <w:rFonts w:eastAsia="仿宋_GB2312" w:hint="eastAsia"/>
          <w:bCs/>
          <w:szCs w:val="32"/>
        </w:rPr>
        <w:t>不足</w:t>
      </w:r>
      <w:r>
        <w:rPr>
          <w:rFonts w:eastAsia="仿宋_GB2312"/>
          <w:bCs/>
          <w:szCs w:val="32"/>
        </w:rPr>
        <w:t>0.1%，确保社区矫正对象无脱管、漏管；</w:t>
      </w:r>
      <w:r>
        <w:rPr>
          <w:rFonts w:eastAsia="仿宋_GB2312" w:hint="eastAsia"/>
          <w:b/>
          <w:bCs/>
          <w:szCs w:val="32"/>
        </w:rPr>
        <w:t>五是</w:t>
      </w:r>
      <w:r>
        <w:rPr>
          <w:rFonts w:eastAsia="仿宋_GB2312"/>
          <w:bCs/>
          <w:szCs w:val="32"/>
        </w:rPr>
        <w:t>做好对社区矫正对象的教育帮扶工作，</w:t>
      </w:r>
      <w:r>
        <w:rPr>
          <w:rFonts w:eastAsia="仿宋_GB2312" w:hint="eastAsia"/>
          <w:bCs/>
          <w:szCs w:val="32"/>
        </w:rPr>
        <w:t>社区矫正对象应助尽助率达1</w:t>
      </w:r>
      <w:r>
        <w:rPr>
          <w:rFonts w:eastAsia="仿宋_GB2312"/>
          <w:bCs/>
          <w:szCs w:val="32"/>
        </w:rPr>
        <w:t>00%</w:t>
      </w:r>
      <w:r>
        <w:rPr>
          <w:rFonts w:eastAsia="仿宋_GB2312" w:hint="eastAsia"/>
          <w:bCs/>
          <w:szCs w:val="32"/>
        </w:rPr>
        <w:t>，教育帮扶活动需求满足率达1</w:t>
      </w:r>
      <w:r>
        <w:rPr>
          <w:rFonts w:eastAsia="仿宋_GB2312"/>
          <w:bCs/>
          <w:szCs w:val="32"/>
        </w:rPr>
        <w:t>00%</w:t>
      </w:r>
      <w:r>
        <w:rPr>
          <w:rFonts w:eastAsia="仿宋_GB2312" w:hint="eastAsia"/>
          <w:bCs/>
          <w:szCs w:val="32"/>
        </w:rPr>
        <w:t>，</w:t>
      </w:r>
      <w:r>
        <w:rPr>
          <w:rFonts w:eastAsia="仿宋_GB2312"/>
          <w:bCs/>
          <w:szCs w:val="32"/>
        </w:rPr>
        <w:t>帮助社区矫正对象</w:t>
      </w:r>
      <w:r>
        <w:rPr>
          <w:rFonts w:eastAsia="仿宋_GB2312" w:hint="eastAsia"/>
          <w:bCs/>
          <w:szCs w:val="32"/>
        </w:rPr>
        <w:t>再社会化</w:t>
      </w:r>
      <w:r>
        <w:rPr>
          <w:rFonts w:eastAsia="仿宋_GB2312"/>
          <w:bCs/>
          <w:szCs w:val="32"/>
        </w:rPr>
        <w:t>。</w:t>
      </w:r>
    </w:p>
    <w:p>
      <w:pPr>
        <w:pStyle w:val="1"/>
        <w:spacing w:beforeLines="0" w:before="0" w:afterLines="0" w:after="0" w:line="600" w:lineRule="exact"/>
        <w:rPr>
          <w:rFonts w:ascii="Times New Roman" w:eastAsia="黑体" w:hAnsi="Times New Roman"/>
          <w:b w:val="0"/>
          <w:szCs w:val="32"/>
        </w:rPr>
      </w:pPr>
      <w:bookmarkStart w:id="25" w:name="_Toc80606424"/>
      <w:bookmarkStart w:id="26" w:name="_Toc89066414"/>
      <w:bookmarkStart w:id="27" w:name="_Toc80785375"/>
      <w:bookmarkStart w:id="28" w:name="_Toc81406110"/>
      <w:bookmarkStart w:id="29" w:name="_Toc170551912"/>
      <w:bookmarkStart w:id="30" w:name="_Toc81781091"/>
      <w:bookmarkEnd w:id="20"/>
      <w:bookmarkEnd w:id="21"/>
      <w:bookmarkEnd w:id="24"/>
      <w:r>
        <w:rPr>
          <w:rFonts w:ascii="Times New Roman" w:eastAsia="黑体" w:hAnsi="Times New Roman" w:hint="eastAsia"/>
          <w:b w:val="0"/>
          <w:szCs w:val="32"/>
        </w:rPr>
        <w:t>二</w:t>
      </w:r>
      <w:r>
        <w:rPr>
          <w:rFonts w:ascii="Times New Roman" w:eastAsia="黑体" w:hAnsi="Times New Roman"/>
          <w:b w:val="0"/>
          <w:szCs w:val="32"/>
        </w:rPr>
        <w:t>、评价结论</w:t>
      </w:r>
      <w:bookmarkEnd w:id="25"/>
      <w:bookmarkEnd w:id="26"/>
      <w:bookmarkEnd w:id="27"/>
      <w:bookmarkEnd w:id="28"/>
      <w:bookmarkEnd w:id="29"/>
    </w:p>
    <w:p>
      <w:pPr>
        <w:pStyle w:val="2"/>
        <w:spacing w:beforeLines="0" w:before="0" w:afterLines="0" w:after="0" w:line="600" w:lineRule="exact"/>
        <w:rPr>
          <w:rFonts w:ascii="Times New Roman" w:eastAsia="楷体_GB2312" w:cs="Times New Roman" w:hAnsi="Times New Roman"/>
        </w:rPr>
      </w:pPr>
      <w:bookmarkStart w:id="31" w:name="_Toc170551913"/>
      <w:bookmarkStart w:id="32" w:name="_Toc13862"/>
      <w:bookmarkEnd w:id="30"/>
      <w:r>
        <w:rPr>
          <w:rFonts w:ascii="Times New Roman" w:eastAsia="楷体_GB2312" w:cs="Times New Roman" w:hAnsi="Times New Roman" w:hint="eastAsia"/>
        </w:rPr>
        <w:t>（一）评价对象和范围</w:t>
      </w:r>
      <w:bookmarkEnd w:id="31"/>
    </w:p>
    <w:p>
      <w:pPr>
        <w:spacing w:line="600" w:lineRule="exact"/>
        <w:rPr>
          <w:rFonts w:eastAsia="仿宋_GB2312"/>
          <w:bCs/>
          <w:szCs w:val="32"/>
        </w:rPr>
      </w:pPr>
      <w:r>
        <w:rPr>
          <w:rFonts w:eastAsia="仿宋_GB2312"/>
          <w:szCs w:val="32"/>
        </w:rPr>
        <w:t>本次绩效评价对象为</w:t>
      </w:r>
      <w:r>
        <w:rPr>
          <w:rFonts w:eastAsia="仿宋_GB2312" w:hint="eastAsia"/>
          <w:bCs/>
          <w:szCs w:val="32"/>
        </w:rPr>
        <w:t>2023年南京市城市警备防务与基层政法经常性补助——社区矫正专项资金</w:t>
      </w:r>
      <w:r>
        <w:rPr>
          <w:rFonts w:eastAsia="仿宋_GB2312"/>
          <w:bCs/>
          <w:szCs w:val="32"/>
        </w:rPr>
        <w:t>510</w:t>
      </w:r>
      <w:r>
        <w:rPr>
          <w:rFonts w:eastAsia="仿宋_GB2312" w:hint="eastAsia"/>
          <w:bCs/>
          <w:szCs w:val="32"/>
        </w:rPr>
        <w:t>万元</w:t>
      </w:r>
      <w:r>
        <w:rPr>
          <w:rFonts w:eastAsia="仿宋_GB2312"/>
          <w:kern w:val="0"/>
          <w:szCs w:val="32"/>
        </w:rPr>
        <w:t>。评价</w:t>
      </w:r>
      <w:r>
        <w:rPr>
          <w:rFonts w:eastAsia="仿宋_GB2312" w:hint="eastAsia"/>
          <w:kern w:val="0"/>
          <w:szCs w:val="32"/>
        </w:rPr>
        <w:t>期间为</w:t>
      </w:r>
      <w:r>
        <w:rPr>
          <w:rFonts w:eastAsia="仿宋_GB2312"/>
          <w:kern w:val="0"/>
          <w:szCs w:val="32"/>
        </w:rPr>
        <w:t>2023年1月1日至2023年12月31日。</w:t>
      </w:r>
    </w:p>
    <w:p>
      <w:pPr>
        <w:pStyle w:val="2"/>
        <w:spacing w:beforeLines="0" w:before="0" w:afterLines="0" w:after="0" w:line="600" w:lineRule="exact"/>
        <w:rPr>
          <w:rFonts w:ascii="Times New Roman" w:eastAsia="楷体_GB2312" w:cs="Times New Roman" w:hAnsi="Times New Roman"/>
        </w:rPr>
      </w:pPr>
      <w:bookmarkStart w:id="33" w:name="_Toc170551914"/>
      <w:r>
        <w:rPr>
          <w:rFonts w:ascii="Times New Roman" w:eastAsia="楷体_GB2312" w:cs="Times New Roman" w:hAnsi="Times New Roman" w:hint="eastAsia"/>
        </w:rPr>
        <w:t>（二）绩效评价结论</w:t>
      </w:r>
      <w:bookmarkEnd w:id="33"/>
    </w:p>
    <w:p>
      <w:pPr>
        <w:spacing w:line="600" w:lineRule="exact"/>
        <w:rPr>
          <w:rFonts w:eastAsia="仿宋_GB2312"/>
          <w:szCs w:val="32"/>
        </w:rPr>
      </w:pPr>
      <w:r>
        <w:rPr>
          <w:rFonts w:eastAsia="仿宋_GB2312"/>
          <w:szCs w:val="32"/>
        </w:rPr>
        <w:t>本次绩效评价遵循科学规范、公平公正、绩效相关的原则，重点剖析项目资金拨付及使用、项目监督管理与长效发展机制、绩效目标实现情况等内容，制定评价标准和评分规则。经综合评定，</w:t>
      </w:r>
      <w:r>
        <w:rPr>
          <w:rFonts w:eastAsia="仿宋_GB2312" w:hint="eastAsia"/>
          <w:bCs/>
          <w:szCs w:val="32"/>
        </w:rPr>
        <w:t>2023年南京市城市警备防务与基层政法经常性补助——社区矫正专项资金</w:t>
      </w:r>
      <w:r>
        <w:rPr>
          <w:rFonts w:eastAsia="仿宋_GB2312"/>
          <w:spacing w:val="3"/>
          <w:szCs w:val="32"/>
        </w:rPr>
        <w:t>绩效</w:t>
      </w:r>
      <w:r>
        <w:rPr>
          <w:rFonts w:eastAsia="仿宋_GB2312"/>
          <w:szCs w:val="32"/>
        </w:rPr>
        <w:t>评价得分95.71分，等级为“</w:t>
      </w:r>
      <w:r>
        <w:rPr>
          <w:rFonts w:eastAsia="仿宋_GB2312" w:hint="eastAsia"/>
          <w:szCs w:val="32"/>
        </w:rPr>
        <w:t>优</w:t>
      </w:r>
      <w:r>
        <w:rPr>
          <w:rFonts w:eastAsia="仿宋_GB2312"/>
          <w:szCs w:val="32"/>
        </w:rPr>
        <w:t>”。详见附件1。</w:t>
      </w:r>
    </w:p>
    <w:p>
      <w:pPr>
        <w:spacing w:line="600" w:lineRule="exact"/>
        <w:rPr>
          <w:rFonts w:eastAsia="仿宋_GB2312"/>
          <w:szCs w:val="32"/>
        </w:rPr>
      </w:pPr>
      <w:r>
        <w:rPr>
          <w:rFonts w:eastAsia="仿宋_GB2312" w:hint="eastAsia"/>
          <w:szCs w:val="32"/>
        </w:rPr>
        <w:t>从总体情况看，2023年南京市社区矫正专项资金立项依据充分，智慧矫正中心阵地建设提档升级，在维护社会安全稳定，打造教育帮扶特色等方面成效显著，社区矫正对象满意度较高。但在社工队伍建设、社区矫正工作质量及项目管理等方面仍需进一步加强。</w:t>
      </w:r>
    </w:p>
    <w:p>
      <w:pPr>
        <w:pStyle w:val="1"/>
        <w:spacing w:beforeLines="0" w:before="0" w:afterLines="0" w:after="0" w:line="600" w:lineRule="exact"/>
        <w:rPr>
          <w:rFonts w:ascii="Times New Roman" w:eastAsia="黑体" w:hAnsi="Times New Roman"/>
          <w:b w:val="0"/>
          <w:szCs w:val="32"/>
        </w:rPr>
      </w:pPr>
      <w:bookmarkStart w:id="34" w:name="_Toc170551915"/>
      <w:r>
        <w:rPr>
          <w:rFonts w:ascii="Times New Roman" w:eastAsia="黑体" w:hAnsi="Times New Roman" w:hint="eastAsia"/>
          <w:b w:val="0"/>
          <w:szCs w:val="32"/>
        </w:rPr>
        <w:t>三</w:t>
      </w:r>
      <w:r>
        <w:rPr>
          <w:rFonts w:ascii="Times New Roman" w:eastAsia="黑体" w:hAnsi="Times New Roman"/>
          <w:b w:val="0"/>
          <w:szCs w:val="32"/>
        </w:rPr>
        <w:t>、项目</w:t>
      </w:r>
      <w:bookmarkEnd w:id="32"/>
      <w:r>
        <w:rPr>
          <w:rFonts w:ascii="Times New Roman" w:eastAsia="黑体" w:hAnsi="Times New Roman"/>
          <w:b w:val="0"/>
          <w:szCs w:val="32"/>
        </w:rPr>
        <w:t>成效</w:t>
      </w:r>
      <w:bookmarkEnd w:id="34"/>
    </w:p>
    <w:p>
      <w:pPr>
        <w:pStyle w:val="2"/>
        <w:spacing w:beforeLines="0" w:before="0" w:afterLines="0" w:after="0" w:line="600" w:lineRule="exact"/>
        <w:rPr>
          <w:rFonts w:ascii="Times New Roman" w:eastAsia="楷体_GB2312" w:cs="Times New Roman" w:hAnsi="Times New Roman"/>
        </w:rPr>
      </w:pPr>
      <w:bookmarkStart w:id="35" w:name="_Toc170551916"/>
      <w:r>
        <w:rPr>
          <w:rFonts w:ascii="Times New Roman" w:eastAsia="楷体_GB2312" w:cs="Times New Roman" w:hAnsi="Times New Roman" w:hint="eastAsia"/>
        </w:rPr>
        <w:t>（一）阵地建设提档升级</w:t>
      </w:r>
      <w:bookmarkEnd w:id="35"/>
    </w:p>
    <w:p>
      <w:pPr>
        <w:spacing w:line="600" w:lineRule="exact"/>
        <w:rPr>
          <w:rFonts w:eastAsia="仿宋_GB2312"/>
          <w:szCs w:val="32"/>
        </w:rPr>
      </w:pPr>
      <w:r>
        <w:rPr>
          <w:rFonts w:eastAsia="仿宋_GB2312" w:hint="eastAsia"/>
          <w:szCs w:val="32"/>
        </w:rPr>
        <w:t>以省部级智慧矫正中心标准为抓手，规范场所设置、配套相关设备、优化平台管理，推进矫正中心规范化、智慧化建设提档升级。</w:t>
      </w:r>
    </w:p>
    <w:p>
      <w:pPr>
        <w:pStyle w:val="2"/>
        <w:spacing w:beforeLines="0" w:before="0" w:afterLines="0" w:after="0" w:line="600" w:lineRule="exact"/>
        <w:rPr>
          <w:rFonts w:ascii="Times New Roman" w:eastAsia="楷体_GB2312" w:cs="Times New Roman" w:hAnsi="Times New Roman"/>
        </w:rPr>
      </w:pPr>
      <w:bookmarkStart w:id="36" w:name="_Toc24457"/>
      <w:bookmarkStart w:id="37" w:name="_Toc81781097"/>
      <w:bookmarkStart w:id="38" w:name="_Toc170551917"/>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36"/>
      <w:bookmarkEnd w:id="37"/>
      <w:r>
        <w:rPr>
          <w:rFonts w:ascii="Times New Roman" w:eastAsia="楷体_GB2312" w:cs="Times New Roman" w:hAnsi="Times New Roman" w:hint="eastAsia"/>
        </w:rPr>
        <w:t>社会安全更加稳定</w:t>
      </w:r>
      <w:bookmarkEnd w:id="38"/>
    </w:p>
    <w:p>
      <w:pPr>
        <w:spacing w:line="600" w:lineRule="exact"/>
        <w:rPr>
          <w:rFonts w:eastAsia="仿宋_GB2312"/>
          <w:szCs w:val="32"/>
        </w:rPr>
      </w:pPr>
      <w:r>
        <w:rPr>
          <w:rFonts w:eastAsia="仿宋_GB2312" w:hint="eastAsia"/>
          <w:b/>
          <w:szCs w:val="32"/>
        </w:rPr>
        <w:t>一是</w:t>
      </w:r>
      <w:r>
        <w:rPr>
          <w:rFonts w:eastAsia="仿宋_GB2312" w:hint="eastAsia"/>
          <w:szCs w:val="32"/>
        </w:rPr>
        <w:t>无新增脱管、漏管、重新犯罪人员。</w:t>
      </w:r>
      <w:r>
        <w:rPr>
          <w:rFonts w:eastAsia="仿宋_GB2312"/>
          <w:szCs w:val="32"/>
        </w:rPr>
        <w:t>2023</w:t>
      </w:r>
      <w:r>
        <w:rPr>
          <w:rFonts w:eastAsia="仿宋_GB2312" w:hint="eastAsia"/>
          <w:szCs w:val="32"/>
        </w:rPr>
        <w:t>年南京市在册社矫对象在矫期间对其严格执行月度考核、通信联络、实地查访、信息化核查、外出销假等日常管理与监督，无新增脱管、漏管人员，无重新犯罪人员，</w:t>
      </w:r>
      <w:r>
        <w:rPr>
          <w:rFonts w:eastAsia="仿宋_GB2312"/>
          <w:szCs w:val="32"/>
        </w:rPr>
        <w:t>有效抑制犯罪发生，很好地维护了社会的和谐稳定。</w:t>
      </w:r>
    </w:p>
    <w:p>
      <w:pPr>
        <w:spacing w:line="600" w:lineRule="exact"/>
        <w:rPr>
          <w:rFonts w:eastAsia="仿宋_GB2312"/>
          <w:b/>
          <w:szCs w:val="32"/>
        </w:rPr>
      </w:pPr>
      <w:r>
        <w:rPr>
          <w:rFonts w:eastAsia="仿宋_GB2312" w:hint="eastAsia"/>
          <w:b/>
          <w:szCs w:val="32"/>
        </w:rPr>
        <w:t>二是</w:t>
      </w:r>
      <w:r>
        <w:rPr>
          <w:rFonts w:eastAsia="仿宋_GB2312" w:hint="eastAsia"/>
          <w:szCs w:val="32"/>
        </w:rPr>
        <w:t>社矫对象社会能力有效提升。</w:t>
      </w:r>
      <w:r>
        <w:rPr>
          <w:rFonts w:eastAsia="仿宋_GB2312" w:hint="eastAsia"/>
          <w:b/>
          <w:szCs w:val="32"/>
        </w:rPr>
        <w:t>一方面</w:t>
      </w:r>
      <w:r>
        <w:rPr>
          <w:rFonts w:eastAsia="仿宋_GB2312" w:hint="eastAsia"/>
          <w:szCs w:val="32"/>
        </w:rPr>
        <w:t>，通过开展</w:t>
      </w:r>
      <w:r>
        <w:rPr>
          <w:rFonts w:eastAsia="仿宋_GB2312"/>
          <w:szCs w:val="32"/>
        </w:rPr>
        <w:t>教育矫正活动，</w:t>
      </w:r>
      <w:r>
        <w:rPr>
          <w:rFonts w:eastAsia="仿宋_GB2312" w:hint="eastAsia"/>
          <w:szCs w:val="32"/>
        </w:rPr>
        <w:t>促进</w:t>
      </w:r>
      <w:r>
        <w:rPr>
          <w:rFonts w:eastAsia="仿宋_GB2312"/>
          <w:szCs w:val="32"/>
        </w:rPr>
        <w:t>更好融入社会</w:t>
      </w:r>
      <w:r>
        <w:rPr>
          <w:rFonts w:eastAsia="仿宋_GB2312" w:hint="eastAsia"/>
          <w:szCs w:val="32"/>
        </w:rPr>
        <w:t>。</w:t>
      </w:r>
      <w:r>
        <w:rPr>
          <w:rFonts w:eastAsia="仿宋_GB2312" w:hint="eastAsia"/>
          <w:b/>
          <w:szCs w:val="32"/>
        </w:rPr>
        <w:t>另一方面</w:t>
      </w:r>
      <w:r>
        <w:rPr>
          <w:rFonts w:eastAsia="仿宋_GB2312" w:hint="eastAsia"/>
          <w:szCs w:val="32"/>
        </w:rPr>
        <w:t>，与街镇联合开展职业推介活动，帮助社矫对象就业。</w:t>
      </w:r>
    </w:p>
    <w:p>
      <w:pPr>
        <w:pStyle w:val="2"/>
        <w:spacing w:beforeLines="0" w:before="0" w:afterLines="0" w:after="0" w:line="600" w:lineRule="exact"/>
        <w:rPr>
          <w:rFonts w:ascii="Times New Roman" w:eastAsia="楷体_GB2312" w:cs="Times New Roman" w:hAnsi="Times New Roman"/>
        </w:rPr>
      </w:pPr>
      <w:bookmarkStart w:id="39" w:name="_Toc170551918"/>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社区</w:t>
      </w:r>
      <w:r>
        <w:rPr>
          <w:rFonts w:ascii="Times New Roman" w:eastAsia="楷体_GB2312" w:cs="Times New Roman" w:hAnsi="Times New Roman"/>
        </w:rPr>
        <w:t>矫正</w:t>
      </w:r>
      <w:r>
        <w:rPr>
          <w:rFonts w:ascii="Times New Roman" w:eastAsia="楷体_GB2312" w:cs="Times New Roman" w:hAnsi="Times New Roman" w:hint="eastAsia"/>
        </w:rPr>
        <w:t>成效显著</w:t>
      </w:r>
      <w:bookmarkEnd w:id="39"/>
    </w:p>
    <w:p>
      <w:pPr>
        <w:spacing w:line="600" w:lineRule="exact"/>
        <w:rPr>
          <w:rFonts w:eastAsia="仿宋_GB2312"/>
          <w:szCs w:val="32"/>
        </w:rPr>
      </w:pPr>
      <w:r>
        <w:rPr>
          <w:rFonts w:eastAsia="仿宋_GB2312"/>
          <w:b/>
          <w:szCs w:val="32"/>
        </w:rPr>
        <w:t>一是</w:t>
      </w:r>
      <w:r>
        <w:rPr>
          <w:rFonts w:eastAsia="仿宋_GB2312"/>
          <w:bCs/>
          <w:szCs w:val="32"/>
        </w:rPr>
        <w:t>社矫</w:t>
      </w:r>
      <w:r>
        <w:rPr>
          <w:rFonts w:eastAsia="仿宋_GB2312" w:hint="eastAsia"/>
          <w:bCs/>
          <w:szCs w:val="32"/>
        </w:rPr>
        <w:t>对象应收尽收</w:t>
      </w:r>
      <w:r>
        <w:rPr>
          <w:rFonts w:eastAsia="仿宋_GB2312"/>
          <w:bCs/>
          <w:szCs w:val="32"/>
        </w:rPr>
        <w:t>；</w:t>
      </w:r>
      <w:r>
        <w:rPr>
          <w:rFonts w:eastAsia="仿宋_GB2312" w:hint="eastAsia"/>
          <w:b/>
          <w:szCs w:val="32"/>
        </w:rPr>
        <w:t>二是</w:t>
      </w:r>
      <w:r>
        <w:rPr>
          <w:rFonts w:eastAsia="仿宋_GB2312" w:hint="eastAsia"/>
          <w:szCs w:val="32"/>
        </w:rPr>
        <w:t>社矫</w:t>
      </w:r>
      <w:r>
        <w:rPr>
          <w:rFonts w:eastAsia="仿宋_GB2312" w:hint="eastAsia"/>
          <w:bCs/>
          <w:szCs w:val="32"/>
        </w:rPr>
        <w:t>对象应助尽助。</w:t>
      </w:r>
    </w:p>
    <w:p>
      <w:pPr>
        <w:pStyle w:val="2"/>
        <w:spacing w:beforeLines="0" w:before="0" w:afterLines="0" w:after="0" w:line="600" w:lineRule="exact"/>
        <w:rPr>
          <w:rFonts w:ascii="Times New Roman" w:eastAsia="楷体_GB2312" w:cs="Times New Roman" w:hAnsi="Times New Roman"/>
        </w:rPr>
      </w:pPr>
      <w:bookmarkStart w:id="40" w:name="_Toc170551919"/>
      <w:r>
        <w:rPr>
          <w:rFonts w:ascii="Times New Roman" w:eastAsia="楷体_GB2312" w:cs="Times New Roman" w:hAnsi="Times New Roman" w:hint="eastAsia"/>
        </w:rPr>
        <w:t>（四）教育帮扶特色逐渐凸显</w:t>
      </w:r>
      <w:bookmarkEnd w:id="40"/>
    </w:p>
    <w:p>
      <w:pPr>
        <w:spacing w:line="600" w:lineRule="exact"/>
        <w:rPr>
          <w:rFonts w:eastAsia="仿宋_GB2312"/>
          <w:szCs w:val="32"/>
        </w:rPr>
      </w:pPr>
      <w:r>
        <w:rPr>
          <w:rFonts w:eastAsia="仿宋_GB2312" w:hint="eastAsia"/>
          <w:b/>
          <w:szCs w:val="32"/>
        </w:rPr>
        <w:t>一是</w:t>
      </w:r>
      <w:r>
        <w:rPr>
          <w:rFonts w:eastAsia="仿宋_GB2312" w:hint="eastAsia"/>
          <w:szCs w:val="32"/>
        </w:rPr>
        <w:t>打造线上教育模式，进一步提高学习效率。2</w:t>
      </w:r>
      <w:r>
        <w:rPr>
          <w:rFonts w:eastAsia="仿宋_GB2312"/>
          <w:szCs w:val="32"/>
        </w:rPr>
        <w:t>023</w:t>
      </w:r>
      <w:r>
        <w:rPr>
          <w:rFonts w:eastAsia="仿宋_GB2312" w:hint="eastAsia"/>
          <w:szCs w:val="32"/>
        </w:rPr>
        <w:t>年上线“金陵有约”网络直播云课堂，上传教育资源180个，开展法律法规、警示教育、心理辅导等线上课程12期；</w:t>
      </w:r>
      <w:r>
        <w:rPr>
          <w:rFonts w:eastAsia="仿宋_GB2312" w:hint="eastAsia"/>
          <w:b/>
          <w:szCs w:val="32"/>
        </w:rPr>
        <w:t>二是</w:t>
      </w:r>
      <w:r>
        <w:rPr>
          <w:rFonts w:eastAsia="仿宋_GB2312" w:hint="eastAsia"/>
          <w:szCs w:val="32"/>
        </w:rPr>
        <w:t>江宁区实施“彩虹心桥·燃梦少年”项目，重点打造未成年社矫对象损害修复工作品牌；</w:t>
      </w:r>
      <w:r>
        <w:rPr>
          <w:rFonts w:eastAsia="仿宋_GB2312" w:hint="eastAsia"/>
          <w:b/>
          <w:szCs w:val="32"/>
        </w:rPr>
        <w:t>三是</w:t>
      </w:r>
      <w:r>
        <w:rPr>
          <w:rFonts w:eastAsia="仿宋_GB2312" w:hint="eastAsia"/>
          <w:szCs w:val="32"/>
        </w:rPr>
        <w:t>浦口区深化“阳光浦照 蝶变人生”心理矫治项目，为全区社矫对象建立心理矫治档案，全面开展特色心理矫治。</w:t>
      </w:r>
    </w:p>
    <w:p>
      <w:pPr>
        <w:pStyle w:val="2"/>
        <w:spacing w:beforeLines="0" w:before="0" w:afterLines="0" w:after="0" w:line="600" w:lineRule="exact"/>
        <w:rPr>
          <w:rFonts w:ascii="Times New Roman" w:eastAsia="楷体_GB2312" w:cs="Times New Roman" w:hAnsi="Times New Roman"/>
        </w:rPr>
      </w:pPr>
      <w:bookmarkStart w:id="41" w:name="_Toc170551920"/>
      <w:bookmarkStart w:id="42" w:name="_Toc169380856"/>
      <w:r>
        <w:rPr>
          <w:rFonts w:ascii="Times New Roman" w:eastAsia="楷体_GB2312" w:cs="Times New Roman" w:hAnsi="Times New Roman" w:hint="eastAsia"/>
        </w:rPr>
        <w:t>（五）社区矫正对象满意度较高</w:t>
      </w:r>
      <w:bookmarkEnd w:id="41"/>
      <w:bookmarkEnd w:id="42"/>
    </w:p>
    <w:p>
      <w:pPr>
        <w:spacing w:line="600" w:lineRule="exact"/>
        <w:rPr>
          <w:rFonts w:eastAsia="仿宋_GB2312"/>
          <w:bCs/>
          <w:szCs w:val="32"/>
        </w:rPr>
      </w:pPr>
      <w:r>
        <w:rPr>
          <w:rFonts w:eastAsia="仿宋_GB2312" w:hint="eastAsia"/>
          <w:bCs/>
          <w:szCs w:val="32"/>
        </w:rPr>
        <w:t>本次评价收回</w:t>
      </w:r>
      <w:r>
        <w:rPr>
          <w:rFonts w:eastAsia="仿宋_GB2312"/>
          <w:szCs w:val="32"/>
        </w:rPr>
        <w:t>社区矫正对象</w:t>
      </w:r>
      <w:r>
        <w:rPr>
          <w:rFonts w:eastAsia="仿宋_GB2312" w:hint="eastAsia"/>
          <w:bCs/>
          <w:szCs w:val="32"/>
        </w:rPr>
        <w:t>有效满意度调查问卷</w:t>
      </w:r>
      <w:r>
        <w:rPr>
          <w:rFonts w:eastAsia="仿宋_GB2312"/>
          <w:bCs/>
          <w:szCs w:val="32"/>
        </w:rPr>
        <w:t>71</w:t>
      </w:r>
      <w:r>
        <w:rPr>
          <w:rFonts w:eastAsia="仿宋_GB2312" w:hint="eastAsia"/>
          <w:bCs/>
          <w:szCs w:val="32"/>
        </w:rPr>
        <w:t>份。其中，选择“非常满意”选项的</w:t>
      </w:r>
      <w:r>
        <w:rPr>
          <w:rFonts w:eastAsia="仿宋_GB2312"/>
          <w:bCs/>
          <w:szCs w:val="32"/>
        </w:rPr>
        <w:t>69</w:t>
      </w:r>
      <w:r>
        <w:rPr>
          <w:rFonts w:eastAsia="仿宋_GB2312" w:hint="eastAsia"/>
          <w:bCs/>
          <w:szCs w:val="32"/>
        </w:rPr>
        <w:t>人，选择“比较满意”选项的</w:t>
      </w:r>
      <w:r>
        <w:rPr>
          <w:rFonts w:eastAsia="仿宋_GB2312"/>
          <w:bCs/>
          <w:szCs w:val="32"/>
        </w:rPr>
        <w:t>2</w:t>
      </w:r>
      <w:r>
        <w:rPr>
          <w:rFonts w:eastAsia="仿宋_GB2312" w:hint="eastAsia"/>
          <w:bCs/>
          <w:szCs w:val="32"/>
        </w:rPr>
        <w:t>人。</w:t>
      </w:r>
    </w:p>
    <w:p>
      <w:pPr>
        <w:pStyle w:val="1"/>
        <w:spacing w:beforeLines="0" w:before="0" w:afterLines="0" w:after="0" w:line="600" w:lineRule="exact"/>
        <w:rPr>
          <w:rFonts w:ascii="Times New Roman" w:eastAsia="黑体" w:hAnsi="Times New Roman"/>
          <w:b w:val="0"/>
          <w:szCs w:val="32"/>
        </w:rPr>
      </w:pPr>
      <w:bookmarkStart w:id="43" w:name="_Toc170551921"/>
      <w:bookmarkStart w:id="44" w:name="_Toc89066420"/>
      <w:bookmarkStart w:id="45" w:name="_Toc86015967"/>
      <w:r>
        <w:rPr>
          <w:rFonts w:ascii="Times New Roman" w:eastAsia="黑体" w:hAnsi="Times New Roman" w:hint="eastAsia"/>
          <w:b w:val="0"/>
          <w:szCs w:val="32"/>
        </w:rPr>
        <w:t>四</w:t>
      </w:r>
      <w:r>
        <w:rPr>
          <w:rFonts w:ascii="Times New Roman" w:eastAsia="黑体" w:hAnsi="Times New Roman"/>
          <w:b w:val="0"/>
          <w:szCs w:val="32"/>
        </w:rPr>
        <w:t>、存在问题</w:t>
      </w:r>
      <w:bookmarkEnd w:id="43"/>
      <w:bookmarkEnd w:id="44"/>
      <w:bookmarkEnd w:id="45"/>
    </w:p>
    <w:p>
      <w:pPr>
        <w:pStyle w:val="2"/>
        <w:spacing w:beforeLines="0" w:before="0" w:afterLines="0" w:after="0" w:line="600" w:lineRule="exact"/>
        <w:rPr>
          <w:rFonts w:ascii="Times New Roman" w:eastAsia="楷体_GB2312" w:cs="Times New Roman" w:hAnsi="Times New Roman"/>
        </w:rPr>
      </w:pPr>
      <w:bookmarkStart w:id="46" w:name="_Toc170551922"/>
      <w:bookmarkStart w:id="47" w:name="_Toc86015971"/>
      <w:bookmarkStart w:id="48" w:name="_Toc89066424"/>
      <w:r>
        <w:rPr>
          <w:rFonts w:ascii="Times New Roman" w:eastAsia="楷体_GB2312" w:cs="Times New Roman" w:hAnsi="Times New Roman" w:hint="eastAsia"/>
        </w:rPr>
        <w:t>（一）社工队伍建设有待提升</w:t>
      </w:r>
      <w:bookmarkEnd w:id="46"/>
    </w:p>
    <w:p>
      <w:pPr>
        <w:spacing w:line="600" w:lineRule="exact"/>
        <w:rPr>
          <w:rFonts w:eastAsia="仿宋_GB2312"/>
          <w:szCs w:val="32"/>
        </w:rPr>
      </w:pPr>
      <w:r>
        <w:rPr>
          <w:rFonts w:eastAsia="仿宋_GB2312" w:hint="eastAsia"/>
          <w:szCs w:val="32"/>
        </w:rPr>
        <w:t>一是社区矫正社工队伍力量配备不足。二是个别区社区矫正社工队伍专业化程度不高。三是社区矫正社工满意度不高。</w:t>
      </w:r>
    </w:p>
    <w:p>
      <w:pPr>
        <w:pStyle w:val="2"/>
        <w:spacing w:beforeLines="0" w:before="0" w:afterLines="0" w:after="0" w:line="600" w:lineRule="exact"/>
        <w:rPr>
          <w:rFonts w:ascii="Times New Roman" w:eastAsia="楷体_GB2312" w:cs="Times New Roman" w:hAnsi="Times New Roman"/>
        </w:rPr>
      </w:pPr>
      <w:bookmarkStart w:id="49" w:name="_Toc170551923"/>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）社区矫正工作质量</w:t>
      </w:r>
      <w:r>
        <w:rPr>
          <w:rFonts w:ascii="Times New Roman" w:eastAsia="楷体_GB2312" w:cs="Times New Roman" w:hAnsi="Times New Roman" w:hint="eastAsia"/>
        </w:rPr>
        <w:t>仍需</w:t>
      </w:r>
      <w:r>
        <w:rPr>
          <w:rFonts w:ascii="Times New Roman" w:eastAsia="楷体_GB2312" w:cs="Times New Roman" w:hAnsi="Times New Roman"/>
        </w:rPr>
        <w:t>提</w:t>
      </w:r>
      <w:r>
        <w:rPr>
          <w:rFonts w:ascii="Times New Roman" w:eastAsia="楷体_GB2312" w:cs="Times New Roman" w:hAnsi="Times New Roman" w:hint="eastAsia"/>
        </w:rPr>
        <w:t>高</w:t>
      </w:r>
      <w:bookmarkEnd w:id="49"/>
    </w:p>
    <w:p>
      <w:pPr>
        <w:spacing w:line="600" w:lineRule="exact"/>
        <w:rPr>
          <w:rFonts w:eastAsia="仿宋_GB2312"/>
          <w:szCs w:val="32"/>
        </w:rPr>
      </w:pPr>
      <w:bookmarkStart w:id="50" w:name="_Hlk135386462"/>
      <w:r>
        <w:rPr>
          <w:rFonts w:eastAsia="仿宋_GB2312" w:hint="eastAsia"/>
          <w:szCs w:val="32"/>
        </w:rPr>
        <w:t>一是个别</w:t>
      </w:r>
      <w:r>
        <w:rPr>
          <w:rFonts w:eastAsia="仿宋_GB2312"/>
          <w:szCs w:val="32"/>
        </w:rPr>
        <w:t>社区矫正</w:t>
      </w:r>
      <w:r>
        <w:rPr>
          <w:rFonts w:eastAsia="仿宋_GB2312" w:hint="eastAsia"/>
          <w:szCs w:val="32"/>
        </w:rPr>
        <w:t>对象未及时</w:t>
      </w:r>
      <w:r>
        <w:rPr>
          <w:rFonts w:eastAsia="仿宋_GB2312"/>
          <w:szCs w:val="32"/>
        </w:rPr>
        <w:t>接收</w:t>
      </w:r>
      <w:r>
        <w:rPr>
          <w:rFonts w:eastAsia="仿宋_GB2312" w:hint="eastAsia"/>
          <w:szCs w:val="32"/>
        </w:rPr>
        <w:t>。二是</w:t>
      </w:r>
      <w:r>
        <w:rPr>
          <w:rFonts w:eastAsia="仿宋_GB2312"/>
          <w:szCs w:val="32"/>
        </w:rPr>
        <w:t>部分</w:t>
      </w:r>
      <w:r>
        <w:rPr>
          <w:rFonts w:eastAsia="仿宋_GB2312" w:hint="eastAsia"/>
          <w:szCs w:val="32"/>
        </w:rPr>
        <w:t>社区矫正</w:t>
      </w:r>
      <w:r>
        <w:rPr>
          <w:rFonts w:eastAsia="仿宋_GB2312"/>
          <w:szCs w:val="32"/>
        </w:rPr>
        <w:t>对象</w:t>
      </w:r>
      <w:r>
        <w:rPr>
          <w:rFonts w:eastAsia="仿宋_GB2312" w:hint="eastAsia"/>
          <w:szCs w:val="32"/>
        </w:rPr>
        <w:t>矫治不够精准。三是社会调查评估仍有提升空间。</w:t>
      </w:r>
    </w:p>
    <w:p>
      <w:pPr>
        <w:pStyle w:val="2"/>
        <w:spacing w:beforeLines="0" w:before="0" w:afterLines="0" w:after="0" w:line="600" w:lineRule="exact"/>
        <w:rPr>
          <w:rFonts w:ascii="Times New Roman" w:eastAsia="楷体_GB2312" w:cs="Times New Roman" w:hAnsi="Times New Roman"/>
        </w:rPr>
      </w:pPr>
      <w:bookmarkStart w:id="51" w:name="_Toc170551924"/>
      <w:bookmarkEnd w:id="50"/>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项目</w:t>
      </w:r>
      <w:r>
        <w:rPr>
          <w:rFonts w:ascii="Times New Roman" w:eastAsia="楷体_GB2312" w:cs="Times New Roman" w:hAnsi="Times New Roman"/>
        </w:rPr>
        <w:t>管理</w:t>
      </w:r>
      <w:r>
        <w:rPr>
          <w:rFonts w:ascii="Times New Roman" w:eastAsia="楷体_GB2312" w:cs="Times New Roman" w:hAnsi="Times New Roman" w:hint="eastAsia"/>
        </w:rPr>
        <w:t>需进一步</w:t>
      </w:r>
      <w:r>
        <w:rPr>
          <w:rFonts w:ascii="Times New Roman" w:eastAsia="楷体_GB2312" w:cs="Times New Roman" w:hAnsi="Times New Roman"/>
        </w:rPr>
        <w:t>加强</w:t>
      </w:r>
      <w:bookmarkEnd w:id="51"/>
    </w:p>
    <w:p>
      <w:pPr>
        <w:spacing w:line="600" w:lineRule="exact"/>
        <w:outlineLvl w:val="2"/>
        <w:rPr>
          <w:rFonts w:eastAsia="仿宋_GB2312"/>
          <w:szCs w:val="32"/>
        </w:rPr>
      </w:pPr>
      <w:bookmarkStart w:id="52" w:name="_Toc170551925"/>
      <w:bookmarkStart w:id="53" w:name="_Toc170069419"/>
      <w:r>
        <w:rPr>
          <w:rFonts w:eastAsia="仿宋_GB2312"/>
          <w:szCs w:val="32"/>
        </w:rPr>
        <w:t>一是</w:t>
      </w:r>
      <w:r>
        <w:rPr>
          <w:rFonts w:eastAsia="仿宋_GB2312" w:hint="eastAsia"/>
          <w:szCs w:val="32"/>
        </w:rPr>
        <w:t>资金支出结构有待优化</w:t>
      </w:r>
      <w:bookmarkEnd w:id="52"/>
      <w:bookmarkEnd w:id="53"/>
      <w:r>
        <w:rPr>
          <w:rFonts w:eastAsia="仿宋_GB2312"/>
          <w:szCs w:val="32"/>
        </w:rPr>
        <w:t>。二是</w:t>
      </w:r>
      <w:bookmarkStart w:id="54" w:name="_Toc170551926"/>
      <w:bookmarkStart w:id="55" w:name="_Toc170069420"/>
      <w:r>
        <w:rPr>
          <w:rFonts w:eastAsia="仿宋_GB2312" w:hint="eastAsia"/>
          <w:szCs w:val="32"/>
        </w:rPr>
        <w:t>绩效管理仍需加强</w:t>
      </w:r>
      <w:bookmarkEnd w:id="54"/>
      <w:bookmarkEnd w:id="55"/>
      <w:r>
        <w:rPr>
          <w:rFonts w:eastAsia="仿宋_GB2312"/>
          <w:szCs w:val="32"/>
        </w:rPr>
        <w:t>。</w:t>
      </w:r>
    </w:p>
    <w:p>
      <w:pPr>
        <w:pStyle w:val="1"/>
        <w:spacing w:beforeLines="0" w:before="0" w:afterLines="0" w:after="0" w:line="600" w:lineRule="exact"/>
        <w:rPr>
          <w:rFonts w:ascii="Times New Roman" w:eastAsia="黑体" w:hAnsi="Times New Roman"/>
          <w:b w:val="0"/>
          <w:szCs w:val="32"/>
        </w:rPr>
      </w:pPr>
      <w:bookmarkStart w:id="56" w:name="_Toc170551927"/>
      <w:bookmarkStart w:id="57" w:name="_Toc86015973"/>
      <w:bookmarkStart w:id="58" w:name="_Toc89066426"/>
      <w:bookmarkEnd w:id="47"/>
      <w:bookmarkEnd w:id="48"/>
      <w:r>
        <w:rPr>
          <w:rFonts w:ascii="Times New Roman" w:eastAsia="黑体" w:hAnsi="Times New Roman" w:hint="eastAsia"/>
          <w:b w:val="0"/>
          <w:szCs w:val="32"/>
        </w:rPr>
        <w:t>五</w:t>
      </w:r>
      <w:r>
        <w:rPr>
          <w:rFonts w:ascii="Times New Roman" w:eastAsia="黑体" w:hAnsi="Times New Roman"/>
          <w:b w:val="0"/>
          <w:szCs w:val="32"/>
        </w:rPr>
        <w:t>、</w:t>
      </w:r>
      <w:r>
        <w:rPr>
          <w:rFonts w:ascii="Times New Roman" w:eastAsia="黑体" w:hAnsi="Times New Roman" w:hint="eastAsia"/>
          <w:b w:val="0"/>
          <w:szCs w:val="32"/>
        </w:rPr>
        <w:t>有</w:t>
      </w:r>
      <w:r>
        <w:rPr>
          <w:rFonts w:ascii="Times New Roman" w:eastAsia="黑体" w:hAnsi="Times New Roman"/>
          <w:b w:val="0"/>
          <w:szCs w:val="32"/>
        </w:rPr>
        <w:t>关建议</w:t>
      </w:r>
      <w:bookmarkEnd w:id="56"/>
      <w:bookmarkEnd w:id="57"/>
      <w:bookmarkEnd w:id="58"/>
    </w:p>
    <w:p>
      <w:pPr>
        <w:pStyle w:val="2"/>
        <w:spacing w:beforeLines="0" w:before="0" w:afterLines="0" w:after="0" w:line="600" w:lineRule="exact"/>
        <w:rPr>
          <w:rFonts w:ascii="Times New Roman" w:eastAsia="楷体_GB2312" w:cs="Times New Roman" w:hAnsi="Times New Roman"/>
        </w:rPr>
      </w:pPr>
      <w:bookmarkStart w:id="59" w:name="_Toc170551928"/>
      <w:r>
        <w:rPr>
          <w:rFonts w:ascii="Times New Roman" w:eastAsia="楷体_GB2312" w:cs="Times New Roman" w:hAnsi="Times New Roman" w:hint="eastAsia"/>
        </w:rPr>
        <w:t>（一）加强社矫队伍建设</w:t>
      </w:r>
      <w:bookmarkEnd w:id="59"/>
    </w:p>
    <w:p>
      <w:pPr>
        <w:spacing w:line="600" w:lineRule="exact"/>
        <w:rPr>
          <w:rFonts w:eastAsia="仿宋_GB2312"/>
          <w:szCs w:val="32"/>
        </w:rPr>
      </w:pPr>
      <w:r>
        <w:rPr>
          <w:rFonts w:eastAsia="仿宋_GB2312" w:hint="eastAsia"/>
          <w:b/>
          <w:szCs w:val="32"/>
        </w:rPr>
        <w:t>一要</w:t>
      </w:r>
      <w:r>
        <w:rPr>
          <w:rFonts w:eastAsia="仿宋_GB2312" w:hint="eastAsia"/>
          <w:szCs w:val="32"/>
        </w:rPr>
        <w:t>各区司法局加大社矫专职社工的培选力度，扩充专职社工队伍规模，</w:t>
      </w:r>
      <w:r>
        <w:rPr>
          <w:rFonts w:eastAsia="仿宋_GB2312" w:hint="eastAsia"/>
          <w:bCs/>
          <w:szCs w:val="32"/>
        </w:rPr>
        <w:t>确保各区社区矫正专职社工人员数量与在册社区矫正对象人数配备比例达标；</w:t>
      </w:r>
      <w:r>
        <w:rPr>
          <w:rFonts w:eastAsia="仿宋_GB2312" w:hint="eastAsia"/>
          <w:b/>
          <w:szCs w:val="32"/>
        </w:rPr>
        <w:t>二要</w:t>
      </w:r>
      <w:r>
        <w:rPr>
          <w:rFonts w:eastAsia="仿宋_GB2312" w:hint="eastAsia"/>
          <w:szCs w:val="32"/>
        </w:rPr>
        <w:t>加强专职社工培训工作，鼓励专职社工参加</w:t>
      </w:r>
      <w:r>
        <w:rPr>
          <w:rFonts w:eastAsia="仿宋_GB2312" w:hint="eastAsia"/>
          <w:bCs/>
          <w:szCs w:val="32"/>
        </w:rPr>
        <w:t>社工职业资格考试，不断提升社区矫正社工队伍专业化程度；</w:t>
      </w:r>
      <w:r>
        <w:rPr>
          <w:rFonts w:eastAsia="仿宋_GB2312" w:hint="eastAsia"/>
          <w:b/>
          <w:szCs w:val="32"/>
        </w:rPr>
        <w:t>三要</w:t>
      </w:r>
      <w:r>
        <w:rPr>
          <w:rFonts w:eastAsia="仿宋_GB2312" w:hint="eastAsia"/>
          <w:szCs w:val="32"/>
        </w:rPr>
        <w:t>定期召开社矫专职社工座谈会，深入了解社矫社工工作难点，对标对表，针对性解决问题，提高专职社工的工作积极性及满意度。</w:t>
      </w:r>
    </w:p>
    <w:p>
      <w:pPr>
        <w:pStyle w:val="2"/>
        <w:spacing w:beforeLines="0" w:before="0" w:afterLines="0" w:after="0" w:line="600" w:lineRule="exact"/>
        <w:rPr>
          <w:rFonts w:ascii="Times New Roman" w:eastAsia="楷体_GB2312" w:cs="Times New Roman" w:hAnsi="Times New Roman"/>
        </w:rPr>
      </w:pPr>
      <w:bookmarkStart w:id="60" w:name="_Toc86015974"/>
      <w:bookmarkStart w:id="61" w:name="_Toc89066427"/>
      <w:bookmarkStart w:id="62" w:name="_Toc170551929"/>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60"/>
      <w:bookmarkEnd w:id="61"/>
      <w:r>
        <w:rPr>
          <w:rFonts w:ascii="Times New Roman" w:eastAsia="楷体_GB2312" w:cs="Times New Roman" w:hAnsi="Times New Roman"/>
        </w:rPr>
        <w:t>提</w:t>
      </w:r>
      <w:r>
        <w:rPr>
          <w:rFonts w:ascii="Times New Roman" w:eastAsia="楷体_GB2312" w:cs="Times New Roman" w:hAnsi="Times New Roman" w:hint="eastAsia"/>
        </w:rPr>
        <w:t>高社区</w:t>
      </w:r>
      <w:r>
        <w:rPr>
          <w:rFonts w:ascii="Times New Roman" w:eastAsia="楷体_GB2312" w:cs="Times New Roman" w:hAnsi="Times New Roman"/>
        </w:rPr>
        <w:t>矫正工作质量</w:t>
      </w:r>
      <w:bookmarkEnd w:id="62"/>
    </w:p>
    <w:p>
      <w:pPr>
        <w:spacing w:line="600" w:lineRule="exact"/>
        <w:rPr>
          <w:rFonts w:eastAsia="仿宋_GB2312"/>
          <w:b/>
          <w:bCs/>
          <w:szCs w:val="32"/>
        </w:rPr>
      </w:pPr>
      <w:r>
        <w:rPr>
          <w:rFonts w:eastAsia="仿宋_GB2312"/>
          <w:b/>
          <w:bCs/>
          <w:szCs w:val="32"/>
        </w:rPr>
        <w:t>一要</w:t>
      </w:r>
      <w:r>
        <w:rPr>
          <w:rFonts w:eastAsia="仿宋_GB2312" w:hint="eastAsia"/>
          <w:bCs/>
          <w:szCs w:val="32"/>
        </w:rPr>
        <w:t>加强与法院等相关部门联系，及时掌握入矫对象信息，提前联系入矫人员，做好接收准备工作，确保所有社矫对象及时入矫；</w:t>
      </w:r>
      <w:r>
        <w:rPr>
          <w:rFonts w:eastAsia="仿宋_GB2312" w:hint="eastAsia"/>
          <w:b/>
          <w:bCs/>
          <w:szCs w:val="32"/>
        </w:rPr>
        <w:t>二要</w:t>
      </w:r>
      <w:r>
        <w:rPr>
          <w:rFonts w:eastAsia="仿宋_GB2312" w:hint="eastAsia"/>
          <w:bCs/>
          <w:szCs w:val="32"/>
        </w:rPr>
        <w:t>结合社区矫正对象犯罪类型、犯罪原因和再犯风险程度，制定适合的个性化矫正方案，提高矫正实效；</w:t>
      </w:r>
      <w:r>
        <w:rPr>
          <w:rFonts w:eastAsia="仿宋_GB2312" w:hint="eastAsia"/>
          <w:b/>
          <w:bCs/>
          <w:szCs w:val="32"/>
        </w:rPr>
        <w:t>三要</w:t>
      </w:r>
      <w:r>
        <w:rPr>
          <w:rFonts w:eastAsia="仿宋_GB2312" w:hint="eastAsia"/>
          <w:bCs/>
          <w:szCs w:val="32"/>
        </w:rPr>
        <w:t>认真做好调查评估工作，及时完成受委托的调查评估，并提高调查评估意见的质量，为社区矫正决定机关提供可信依据，牢牢把住矫正工作的“入口关”。</w:t>
      </w:r>
    </w:p>
    <w:p>
      <w:pPr>
        <w:pStyle w:val="2"/>
        <w:spacing w:beforeLines="0" w:before="0" w:afterLines="0" w:after="0" w:line="600" w:lineRule="exact"/>
        <w:rPr>
          <w:rFonts w:ascii="Times New Roman" w:eastAsia="楷体_GB2312" w:cs="Times New Roman" w:hAnsi="Times New Roman"/>
        </w:rPr>
      </w:pPr>
      <w:bookmarkStart w:id="63" w:name="_Toc170551930"/>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进一步加强项目管理</w:t>
      </w:r>
      <w:bookmarkEnd w:id="63"/>
    </w:p>
    <w:p>
      <w:pPr>
        <w:spacing w:line="600" w:lineRule="exact"/>
        <w:outlineLvl w:val="2"/>
        <w:rPr>
          <w:rFonts w:eastAsia="仿宋_GB2312"/>
          <w:b/>
          <w:szCs w:val="32"/>
        </w:rPr>
      </w:pPr>
      <w:bookmarkStart w:id="64" w:name="_Toc170069425"/>
      <w:bookmarkStart w:id="65" w:name="_Toc170551931"/>
      <w:r>
        <w:rPr>
          <w:rFonts w:eastAsia="仿宋_GB2312" w:hint="eastAsia"/>
          <w:b/>
          <w:szCs w:val="32"/>
        </w:rPr>
        <w:t>1</w:t>
      </w:r>
      <w:r>
        <w:rPr>
          <w:rFonts w:eastAsia="仿宋_GB2312"/>
          <w:b/>
          <w:szCs w:val="32"/>
        </w:rPr>
        <w:t>.</w:t>
      </w:r>
      <w:r>
        <w:rPr>
          <w:rFonts w:eastAsia="仿宋_GB2312" w:hint="eastAsia"/>
          <w:b/>
          <w:szCs w:val="32"/>
        </w:rPr>
        <w:t>优化资金支出结构，提高资金使用效率</w:t>
      </w:r>
      <w:bookmarkEnd w:id="64"/>
      <w:bookmarkEnd w:id="65"/>
    </w:p>
    <w:p>
      <w:pPr>
        <w:spacing w:line="600" w:lineRule="exact"/>
        <w:rPr>
          <w:rFonts w:eastAsia="仿宋_GB2312"/>
          <w:szCs w:val="32"/>
        </w:rPr>
      </w:pPr>
      <w:r>
        <w:rPr>
          <w:rFonts w:eastAsia="仿宋_GB2312" w:hint="eastAsia"/>
          <w:szCs w:val="32"/>
        </w:rPr>
        <w:t>加强政策研究，优化经费支出结构，平衡人员工资与业务支出比例，进一步加大社区矫正硬件、软件设施建设投入,确保社区矫正工作顺利推进。</w:t>
      </w:r>
    </w:p>
    <w:p>
      <w:pPr>
        <w:spacing w:line="600" w:lineRule="exact"/>
        <w:outlineLvl w:val="2"/>
        <w:rPr>
          <w:rFonts w:eastAsia="仿宋_GB2312"/>
          <w:b/>
          <w:szCs w:val="32"/>
        </w:rPr>
      </w:pPr>
      <w:bookmarkStart w:id="66" w:name="_Toc170069426"/>
      <w:bookmarkStart w:id="67" w:name="_Toc170551932"/>
      <w:r>
        <w:rPr>
          <w:rFonts w:eastAsia="仿宋_GB2312" w:hint="eastAsia"/>
          <w:b/>
          <w:szCs w:val="32"/>
        </w:rPr>
        <w:t>2</w:t>
      </w:r>
      <w:r>
        <w:rPr>
          <w:rFonts w:eastAsia="仿宋_GB2312"/>
          <w:b/>
          <w:szCs w:val="32"/>
        </w:rPr>
        <w:t>.加强绩效管理</w:t>
      </w:r>
      <w:r>
        <w:rPr>
          <w:rFonts w:eastAsia="仿宋_GB2312" w:hint="eastAsia"/>
          <w:b/>
          <w:szCs w:val="32"/>
        </w:rPr>
        <w:t>，切实发挥绩效指引作用</w:t>
      </w:r>
      <w:bookmarkEnd w:id="66"/>
      <w:bookmarkEnd w:id="67"/>
    </w:p>
    <w:p>
      <w:pPr>
        <w:spacing w:line="600" w:lineRule="exact"/>
        <w:rPr>
          <w:rFonts w:eastAsia="仿宋_GB2312"/>
          <w:szCs w:val="32"/>
        </w:rPr>
      </w:pPr>
      <w:r>
        <w:rPr>
          <w:rFonts w:eastAsia="仿宋_GB2312" w:hint="eastAsia"/>
          <w:b/>
          <w:bCs/>
          <w:szCs w:val="32"/>
        </w:rPr>
        <w:t>一要</w:t>
      </w:r>
      <w:r>
        <w:rPr>
          <w:rFonts w:eastAsia="仿宋_GB2312" w:hint="eastAsia"/>
          <w:bCs/>
          <w:szCs w:val="32"/>
        </w:rPr>
        <w:t>完善项目年度绩效目标，将年度工作目标细分为具体、可衡量的工作任务；</w:t>
      </w:r>
      <w:r>
        <w:rPr>
          <w:rFonts w:eastAsia="仿宋_GB2312" w:hint="eastAsia"/>
          <w:b/>
          <w:bCs/>
          <w:szCs w:val="32"/>
        </w:rPr>
        <w:t>二要</w:t>
      </w:r>
      <w:r>
        <w:rPr>
          <w:rFonts w:eastAsia="仿宋_GB2312" w:hint="eastAsia"/>
          <w:bCs/>
          <w:szCs w:val="32"/>
        </w:rPr>
        <w:t>紧扣项目目标和项目内容优化绩效指标设计，推进业财融合，充分发挥业务处室对于绩效指标与目标值设定的作用，切实发挥绩效指引作用。</w:t>
      </w:r>
    </w:p>
    <w:p>
      <w:pPr>
        <w:pStyle w:val="1"/>
        <w:spacing w:beforeLines="0" w:before="0" w:afterLines="0" w:after="0" w:line="600" w:lineRule="exact"/>
        <w:rPr>
          <w:rFonts w:ascii="Times New Roman" w:eastAsia="黑体" w:hAnsi="Times New Roman"/>
          <w:b w:val="0"/>
          <w:szCs w:val="32"/>
        </w:rPr>
      </w:pPr>
      <w:r>
        <w:rPr>
          <w:rFonts w:ascii="Times New Roman" w:eastAsia="黑体" w:hAnsi="Times New Roman" w:hint="eastAsia"/>
          <w:b w:val="0"/>
          <w:szCs w:val="32"/>
        </w:rPr>
        <w:t>六、评价工作开展情况及其他需说明的情况</w:t>
      </w:r>
      <w:bookmarkEnd w:id="14"/>
    </w:p>
    <w:p>
      <w:pPr>
        <w:pStyle w:val="2"/>
        <w:spacing w:beforeLines="0" w:before="0" w:afterLines="0" w:after="0" w:line="600" w:lineRule="exact"/>
        <w:rPr>
          <w:rFonts w:ascii="Times New Roman" w:eastAsia="楷体_GB2312" w:cs="Times New Roman" w:hAnsi="Times New Roman"/>
        </w:rPr>
      </w:pPr>
      <w:bookmarkStart w:id="68" w:name="_Toc170551934"/>
      <w:r>
        <w:rPr>
          <w:rFonts w:ascii="Times New Roman" w:eastAsia="楷体_GB2312" w:cs="Times New Roman" w:hAnsi="Times New Roman" w:hint="eastAsia"/>
        </w:rPr>
        <w:t>（一）评价思路</w:t>
      </w:r>
      <w:bookmarkEnd w:id="68"/>
    </w:p>
    <w:p>
      <w:pPr>
        <w:spacing w:line="600" w:lineRule="exact"/>
        <w:rPr>
          <w:rFonts w:eastAsia="仿宋_GB2312"/>
          <w:szCs w:val="32"/>
        </w:rPr>
      </w:pPr>
      <w:r>
        <w:rPr>
          <w:rFonts w:eastAsia="仿宋_GB2312"/>
          <w:szCs w:val="32"/>
        </w:rPr>
        <w:t>在梳理</w:t>
      </w:r>
      <w:r>
        <w:rPr>
          <w:rFonts w:eastAsia="仿宋_GB2312"/>
          <w:bCs/>
          <w:szCs w:val="32"/>
        </w:rPr>
        <w:t>2023年</w:t>
      </w:r>
      <w:r>
        <w:rPr>
          <w:rFonts w:eastAsia="仿宋_GB2312" w:hint="eastAsia"/>
          <w:bCs/>
          <w:szCs w:val="32"/>
        </w:rPr>
        <w:t>南京市</w:t>
      </w:r>
      <w:r>
        <w:rPr>
          <w:rFonts w:eastAsia="仿宋_GB2312"/>
          <w:bCs/>
          <w:szCs w:val="32"/>
        </w:rPr>
        <w:t>社区矫正专项资金</w:t>
      </w:r>
      <w:r>
        <w:rPr>
          <w:rFonts w:eastAsia="仿宋_GB2312"/>
          <w:szCs w:val="32"/>
        </w:rPr>
        <w:t>相关政策文件、设立背景、主要内容、实施流程的基础上，通过设计有针对性的绩效评价指标体系，科学确定绩效标准，评价项目实施所取得成效</w:t>
      </w:r>
      <w:bookmarkStart w:id="69" w:name="_Hlk100130018"/>
      <w:r>
        <w:rPr>
          <w:rFonts w:eastAsia="仿宋_GB2312"/>
          <w:szCs w:val="32"/>
        </w:rPr>
        <w:t>，分析存在的问题与不足，</w:t>
      </w:r>
      <w:bookmarkEnd w:id="69"/>
      <w:r>
        <w:rPr>
          <w:rFonts w:eastAsia="仿宋_GB2312"/>
          <w:szCs w:val="32"/>
        </w:rPr>
        <w:t>促进更加高效配置资源，提高资金使用效益。</w:t>
      </w:r>
      <w:r>
        <w:rPr>
          <w:rFonts w:eastAsia="仿宋_GB2312" w:hint="eastAsia"/>
          <w:szCs w:val="32"/>
        </w:rPr>
        <w:t>整个评价工作分为评前准备、现场评价、分析汇总、撰写报告、资料整理归档等五个阶段。</w:t>
      </w:r>
    </w:p>
    <w:p>
      <w:pPr>
        <w:pStyle w:val="2"/>
        <w:spacing w:beforeLines="0" w:before="0" w:afterLines="0" w:after="0" w:line="600" w:lineRule="exact"/>
        <w:rPr>
          <w:rFonts w:ascii="Times New Roman" w:eastAsia="楷体_GB2312" w:cs="Times New Roman" w:hAnsi="Times New Roman"/>
        </w:rPr>
      </w:pPr>
      <w:bookmarkStart w:id="70" w:name="_Toc170551935"/>
      <w:r>
        <w:rPr>
          <w:rFonts w:ascii="Times New Roman" w:eastAsia="楷体_GB2312" w:cs="Times New Roman" w:hAnsi="Times New Roman" w:hint="eastAsia"/>
        </w:rPr>
        <w:t>（二）评价依据</w:t>
      </w:r>
      <w:bookmarkEnd w:id="70"/>
    </w:p>
    <w:p>
      <w:pPr>
        <w:spacing w:line="600" w:lineRule="exact"/>
        <w:rPr>
          <w:rFonts w:eastAsia="仿宋_GB2312"/>
          <w:szCs w:val="32"/>
        </w:rPr>
      </w:pPr>
      <w:r>
        <w:rPr>
          <w:rFonts w:eastAsia="仿宋_GB2312" w:hint="eastAsia"/>
          <w:szCs w:val="32"/>
        </w:rPr>
        <w:t>本项目主要依据财政制度、政府文件及相关政策开展具体评价工作。评价依据主要包括：</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《中华人民共和国社区矫正法实施办法》（司发通〔2020〕59号）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《江苏省社区矫正工作实施细则》（苏司通〔2022〕23号）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《省苏办发综治委关于进一步加强区矫正工作的意见》（苏办发〔2011〕53号）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《关于进一步深化全省司法行政刑罚执行一体化建设工作的意见》（苏司通〔2019〕17号）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《南京市市级社区矫正补助专项资金管理办法》（宁财规〔2022〕2号）</w:t>
      </w:r>
    </w:p>
    <w:p>
      <w:pPr>
        <w:pStyle w:val="1"/>
        <w:spacing w:beforeLines="0" w:before="0" w:afterLines="0" w:after="0" w:line="600" w:lineRule="exact"/>
        <w:rPr>
          <w:rFonts w:ascii="Times New Roman" w:eastAsia="黑体" w:hAnsi="Times New Roman"/>
          <w:b w:val="0"/>
          <w:szCs w:val="32"/>
        </w:rPr>
      </w:pPr>
      <w:bookmarkStart w:id="71" w:name="_Toc170551936"/>
      <w:r>
        <w:rPr>
          <w:rFonts w:ascii="Times New Roman" w:eastAsia="黑体" w:hAnsi="Times New Roman" w:hint="eastAsia"/>
          <w:b w:val="0"/>
          <w:szCs w:val="32"/>
        </w:rPr>
        <w:t>七、附件</w:t>
      </w:r>
      <w:bookmarkEnd w:id="71"/>
    </w:p>
    <w:p>
      <w:pPr>
        <w:spacing w:line="600" w:lineRule="exact"/>
        <w:rPr>
          <w:rFonts w:eastAsia="仿宋_GB2312"/>
          <w:szCs w:val="32"/>
        </w:rPr>
      </w:pPr>
      <w:r>
        <w:rPr>
          <w:rFonts w:eastAsia="仿宋_GB2312" w:hint="eastAsia"/>
          <w:szCs w:val="32"/>
        </w:rPr>
        <w:t>附件1：2023年南京市城市警备防务与基层政法经常性补助——社区矫正专项资金绩效评价评分表</w:t>
      </w:r>
      <w:bookmarkEnd w:id="15"/>
    </w:p>
    <w:p>
      <w:pPr>
        <w:spacing w:line="600" w:lineRule="exact"/>
        <w:rPr>
          <w:rFonts w:eastAsia="仿宋_GB2312"/>
          <w:szCs w:val="32"/>
        </w:rPr>
        <w:sectPr>
          <w:footerReference w:type="default" r:id="rId5"/>
          <w:pgSz w:w="12240" w:h="15840"/>
          <w:pgMar w:top="1440" w:right="1797" w:bottom="1440" w:left="1797" w:header="720" w:footer="720" w:gutter="0"/>
          <w:pgNumType w:start="1"/>
          <w:docGrid w:linePitch="286" w:charSpace="0"/>
        </w:sectPr>
      </w:pPr>
    </w:p>
    <w:p>
      <w:pPr>
        <w:spacing w:line="600" w:lineRule="exact"/>
        <w:ind w:firstLineChars="0" w:firstLine="0"/>
        <w:rPr>
          <w:rFonts w:eastAsia="黑体"/>
          <w:szCs w:val="32"/>
        </w:rPr>
      </w:pPr>
      <w:r>
        <w:rPr>
          <w:rFonts w:eastAsia="黑体" w:hint="eastAsia"/>
          <w:szCs w:val="32"/>
        </w:rPr>
        <w:t>附件1</w:t>
      </w:r>
    </w:p>
    <w:p>
      <w:pPr>
        <w:spacing w:line="600" w:lineRule="exact"/>
        <w:ind w:firstLineChars="0" w:firstLine="0"/>
        <w:jc w:val="center"/>
        <w:outlineLvl w:val="1"/>
        <w:rPr>
          <w:rFonts w:eastAsia="仿宋_GB2312"/>
          <w:b/>
          <w:szCs w:val="32"/>
        </w:rPr>
      </w:pPr>
      <w:bookmarkStart w:id="72" w:name="_Toc170551937"/>
      <w:r>
        <w:rPr>
          <w:rFonts w:eastAsia="仿宋_GB2312" w:hint="eastAsia"/>
          <w:b/>
          <w:szCs w:val="32"/>
        </w:rPr>
        <w:t>2023年南京市城市警备防务与基层政法经常性补助——社区矫正专项资金绩效评价评分表</w:t>
      </w:r>
      <w:bookmarkEnd w:id="72"/>
    </w:p>
    <w:tbl>
      <w:tblPr>
        <w:jc w:val="right"/>
        <w:tblW w:w="14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01"/>
        <w:gridCol w:w="796"/>
        <w:gridCol w:w="901"/>
        <w:gridCol w:w="531"/>
        <w:gridCol w:w="900"/>
        <w:gridCol w:w="1940"/>
        <w:gridCol w:w="3195"/>
        <w:gridCol w:w="5012"/>
        <w:gridCol w:w="689"/>
      </w:tblGrid>
      <w:tr>
        <w:trPr>
          <w:trHeight w:val="840"/>
          <w:tblHeader/>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一级指标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二级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三级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权重</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目标值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指标解释</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评分标准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评分过程</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得分</w:t>
            </w:r>
          </w:p>
        </w:tc>
      </w:tr>
      <w:tr>
        <w:trPr>
          <w:trHeight w:val="4185"/>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决策</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A1项目立项</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A11立项依据充分性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充分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项目立项是否符合法律法规、相关政策、发展规划以及部门职责、用以反映和考核项目立项依据情况。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①项目立项是否符合国家法律法规、国民经济发展规划和相关政策，符合行业发展规划和政策要求，符合得0.5分；不符合得0分；</w:t>
              <w:br/>
              <w:t>②项目立项是否与部门职责范围相符，属于部门履职所需，符合得0.5分；不符合得0分；</w:t>
              <w:br/>
              <w:t>③项目是否属于公共财政支持范围，是否符合中央、地方事权支出责任划分原则，符合得0.5分；不符合得0分；</w:t>
              <w:br/>
              <w:t>④项目是否与相关部门同类项目或部门内部相关项目重复，不重复得0.5分；重复得0分。</w:t>
              <w:br/>
              <w:t>本指标得分为上述4项得分之和。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①社区矫正项目立项符合《中华人民共和国社区矫正法》、《中华人民共和国社区矫正法实施办法》（司发通〔2020〕59号）等法律法规要求，得0.5分；</w:t>
              <w:br/>
              <w:t>②根据部门三定方案，全市各区司法局的主要职责之一，即是指导、管理社区矫正工作，预防和控制矫正对象重新犯罪，社区矫正工作属于各区司法局履职所需，得0.5分；</w:t>
              <w:br/>
              <w:t>③社区矫正专项资金实行“分级管理、分级负担”原则，以区级保障为主，省、市级补助为辅，项目属于公共财政支持范围，符合中央、地方事权支出责任划分原则，得0.5分；</w:t>
              <w:br/>
              <w:t>④未发现项目与相关部门同类项目及部门内部相关项目重复，得0.5分；</w:t>
              <w:br/>
              <w:t>综上，指标得分=0.5+0.5+0.5+0.5=2分。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3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A12立项程序规范性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1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项目申请、设立过程是否符合相关要求，用以反映和考核项目立项的规范情况。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①项目是否按照规定的程序申请设立；</w:t>
              <w:br/>
              <w:t>②审批文件、材料是否符合相关要求；</w:t>
              <w:br/>
              <w:t>③事前是否已经过必要的可行性研究、专家论证、风险评估、绩效评估、集体决策；</w:t>
              <w:br/>
              <w:t>上述3项全部符合，得1分；有一项不符合，扣权重分的1/3。</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①社区矫正项目属于常年安排项目，按照规定的程序申请设立；</w:t>
              <w:br/>
              <w:t>②社区矫正项目审批文件、材料等符合相关要求；</w:t>
              <w:br/>
              <w:t>③社区矫正项目为法律法规要求开展的必要性工作，事前经过必要的集体决策；</w:t>
              <w:br/>
              <w:t>综上，指标得分1分。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w:t>
            </w:r>
          </w:p>
        </w:tc>
      </w:tr>
      <w:tr>
        <w:trPr>
          <w:trHeight w:val="284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A2绩效目标</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A21绩效目标合理性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项目所设定的绩效目标是否依据充分，是否符合客观实际，用以反映和考核项目绩效目标与项目实施的相符情况。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没有项目绩效目标，得0分；有则根据下列要点得分：</w:t>
              <w:br/>
              <w:t>①项目绩效目标与实际工作内容具有相关性，得1分；不完全相关，得0.5分；不相关，得0分；</w:t>
              <w:br/>
              <w:t>②项目预期产出效益和效果符合正常的业绩水平，得1分；不完全符合，得0.5分；不符合，得0分；</w:t>
              <w:br/>
              <w:t>③与预算确定的项目投资额或资金量相匹配，得1分；不完全匹配，得0.5分；不匹配，得0分。</w:t>
              <w:br/>
              <w:t>指标得分为上述3项得分之和。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南京市司法局已编制2023年社区矫正项目绩效目标申报表：</w:t>
              <w:br/>
              <w:t>①项目绩效目标与实际工作具有较高的相关性，得1分；</w:t>
              <w:br/>
              <w:t>②年度绩效目标全部为定性分析，缺少定量指标，无法量化产出效益和效果，酌情扣0.5分，得0.5分；</w:t>
              <w:br/>
              <w:t>③2023年项目绩效目标与项目资金量相匹配，得1分；</w:t>
              <w:br/>
              <w:t>综上，指标得分=1+0.5+1=2.5分。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w:t>
            </w:r>
          </w:p>
        </w:tc>
      </w:tr>
      <w:tr>
        <w:trPr>
          <w:trHeight w:val="26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A22绩效指标明确性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明确</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依据绩效目标设定的绩效指标是否清晰、细化、可衡量等，用以反映和考核项目绩效目标的明细化情况。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没有将绩效目标细化分解为具体的绩效指标，得0分；有，则根据下列要点得分：</w:t>
              <w:br/>
              <w:t>①通过清晰、可衡量的指标值予以体现，得1分；不够清晰、可衡量，得0.5分；不清晰、不可衡量，得0分；</w:t>
              <w:br/>
              <w:t>②与目标任务数或计划数相适应，得1分；不够适应，得0.5分；不适应，得0分；</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根据2023年社区矫正项目绩效目标申报表，绩效指标不完整。绩效目标申报表中产出数量、产出质量、产出时效、社会效益、可持续影响均仅设置1个指标，绩效指标较少，绩效目标细化分解不足，无法全面评价绩效目标的实际产出效果和效益情况。酌情扣0.5分，得1.5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1.5</w:t>
            </w:r>
          </w:p>
        </w:tc>
      </w:tr>
      <w:tr>
        <w:trPr>
          <w:trHeight w:val="302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A3资金投入</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A31预算编制科学性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科学</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项目预算编制是否经过科学论证、有明确标准，资金额度与目标是否相适应，用以反映和考核项目预算编制的科学性、合理性情况。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①预算编制是否经过科学论证；</w:t>
              <w:br/>
              <w:t>②预算内容与项目内容是否匹配；</w:t>
              <w:br/>
              <w:t>③预算额度测算依据是否充分，是否按照标准编制；</w:t>
              <w:br/>
              <w:t>④预算确定的项目投资额或资金量是否与工作任务相匹配。</w:t>
              <w:br/>
              <w:t>上述4项条件都具备，得3分；每不具备一项，扣除1分，扣完为止。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①预算编制经过科学论证；</w:t>
              <w:br/>
              <w:t>②社区矫正项目预算测算依据主要包括社区矫正对象数量、社区矫正调查评估工作量、区级经费投入及绩效考核等因素，预算内容与项目内容相匹配；</w:t>
              <w:br/>
              <w:t>③预算额度依据社区矫正对象人数补助标准进行编制，测算依据充分；</w:t>
              <w:br/>
              <w:t>④预算确定的项目资金量与工作任务相匹配；</w:t>
              <w:br/>
              <w:t>综上，指标得3分。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249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A32资金分配合理性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项目预算资金分配是否有测算依据，与补助单位或地方实际是否相适应，用以反映和考核项目预算资金分配的科学性、合理性情况。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①预算资金分配依据是否充分：充分，得1分；不够充分，得0.5分；不充分，得0分；</w:t>
              <w:br/>
              <w:t xml:space="preserve">②资金分配额度是否合理，与项目单位或地方实际是否相适应：合理，适应，得1分；不够合理或不够适应，得0.5分；不合理或不适应，得0分；                                                                                                      </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①预算资金分配依据各区财力、社区矫正对象数量、社区矫正调查评估工作量、区级经费投入及绩效考核等因素进行分配，分配依据充分，得1分；</w:t>
              <w:br/>
              <w:t>②资金分配额度按各区财力、社区矫正对象数量、社区矫正调查评估工作量、区级经费投入及绩效考核等因素，并按重要性赋予不同比例进行分配，各区额度分配合理，与各区实际相适应，得1分；</w:t>
              <w:br/>
              <w:t>综上，指标得分=1+1=2分。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90"/>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过程</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B1资金管理</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B11资金到位率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用以反映和考核市级补助资金落实情况对项目实施的总体保障程度。</w:t>
              <w:br/>
              <w:t>资金到位率=（实际到位资金数÷预算资金数）×100%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资金到位率达到100%，得权重分；低于100%，则按实际完成率乘以权重值得分。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2023年度市级资金预算安排数510万元，实际到位510万元，资金到位率100%，得分2分。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47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B12预算执行率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5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项目预算资金是否按照计划执行，用以反映或考核项目预算执行情况。</w:t>
              <w:br/>
              <w:t>预算执行率=实际支出资金数÷预算资金数×100%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预算执行率为100%，得权重分；低于100%，则按实际完成率乘以权重值得分。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2023年度市级预算安排数510万元，实际支出510万元，预算执行率100%，得分5分。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318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B13资金使用合规性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合规</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项目资金使用是否符合相关资金管理办法和财务管理制度规定，用以反映和考核项目资金的规范运行情况。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①是否符合国家财经法规和财务管理制度以及有关专项资金管理办法的规定；</w:t>
              <w:br/>
              <w:t>②资金的拨付是否有完整的审批程序和手续；</w:t>
              <w:br/>
              <w:t>③是否符合项目预算批复或合同规定的用途；</w:t>
              <w:br/>
              <w:t>④是否存在截留、挤占、挪用、虚列支出等情况；                                                                     只要发生④的情况，指标不得分；未发生④的情况且其他3点全部符合，得3分；其他每出现1例不合规，扣除0.5分，扣完为止。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2023年，建邺区、秦淮区等5个区的社区矫正社会工作者经费支出占社区矫正项目支出总额比例超过60%，不符合《南京市市级社区矫正补助专项资金管理办法》（宁财规〔2022〕2号）第四条“用于社区矫正社会工作者的费用不得超过市社矫补助资金的50%”的要求。扣0.5分；</w:t>
              <w:br/>
              <w:t>②资金的拨付有完整的审批程序和手续；</w:t>
              <w:br/>
              <w:t>③未发现存在截留、挤占、挪用、虚列支出等违规情况；</w:t>
              <w:br/>
              <w:t>综上，指标得分=3-0.5=2.5分。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w:t>
            </w:r>
          </w:p>
        </w:tc>
      </w:tr>
      <w:tr>
        <w:trPr>
          <w:trHeight w:val="292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B2组织实施</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B21管理制度健全性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健全</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评价是否制定资金管理办法，管理办法中是否有明确的资金分配方法，资金分配因素是否全面合理；财务和业务管理制度是否健全，用以反映和考核财务和业务管理制度对项目顺利实施的保障情况。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①财务管理制度健全合理，得1分；比较健全合理，得0.5分；不健全不合理，得0分；</w:t>
              <w:br/>
              <w:t>②业务管理制度健全合理，得1分，比较健全合理，得0.5分；不健全不合理，得0分；</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①2022年4月，南京市财政局、南京市司法局联合制定了《南京市市级社区矫正补助专项资金管理办法》（宁财规〔2022〕2号），财务管理制度健全合理，得1分；</w:t>
              <w:br/>
              <w:t>②2022年12月，江苏省司法厅等四部门联合制定了《江苏省社区矫正工作实施细则》（苏司通〔2022〕23号），南京市虽未制定本级业务管理制度，但主要依据省级文件中的规定执行，业务管理制度健全合理，得1分；</w:t>
              <w:br/>
              <w:t>综上，指标得分=1+1=2分。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38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B22制度执行有效性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6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项目实施是否符合相关管理规定，用以反映和考核相关管理制度的有效执行情况。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①社区矫正是否符合《中华人民共和国社区矫正法》等法律法规的要求；</w:t>
              <w:br/>
              <w:t>②社区矫正机构是否按规定及时完成对社区矫正对象的接收、建档，是否成立矫正小组，针对不同的矫正对象制定有针对性的矫正方案；</w:t>
              <w:br/>
              <w:t>③社区矫正机构日常监督落实是否执行到位：</w:t>
              <w:br/>
              <w:t>④社区矫正机构接收委托做判前社会调查符合是否规范、社区矫正智慧化管理平台信息是否及时完善：</w:t>
              <w:br/>
              <w:t>⑤社区矫正机构是否积极动员社会力量参与教育帮扶；</w:t>
              <w:br/>
              <w:t>全部规范执行，得权重分；每发现1例不合规，扣除0.5分，扣完为止。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①社区矫正工作符合《中华人民共和国社区矫正法》等法律法规的要求；</w:t>
              <w:br/>
              <w:t>②社区矫正机构能按规定完成社区矫正对象的接收，为其建立档案，成立了矫正小组，制定矫正方案，但存在部分社区矫正对象矫正方案的针对性与个性化存在不足的情况，酌情扣0.5分；</w:t>
              <w:br/>
              <w:t>③社区矫正机构规范组织入矫宣告、集中教育、月度考核、通信联络、实地查访、信息化核查、外出销假、解除宣告等日常管理工作，日常监督落实执行到位：</w:t>
              <w:br/>
              <w:t>④社区矫正机构接收委托做判前社会调查符合规范、社区矫正智慧化管理平台信息及时完善：</w:t>
              <w:br/>
              <w:t>⑤社区矫正机构积极动员社会力量参与教育帮扶；</w:t>
              <w:br/>
              <w:t>指标得分=6-0.5=5.5分。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5.5</w:t>
            </w:r>
          </w:p>
        </w:tc>
      </w:tr>
      <w:tr>
        <w:trPr>
          <w:trHeight w:val="1185"/>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产出</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C1产出数量</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C11区智慧矫正中心完成数量</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考察截止2023年12月31日，各区矫正中心创建完成情况。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kern w:val="0"/>
                <w:sz w:val="21"/>
                <w:szCs w:val="21"/>
              </w:rPr>
              <w:t>至</w:t>
            </w:r>
            <w:bookmarkStart w:id="73" w:name="_GoBack"/>
            <w:bookmarkEnd w:id="73"/>
            <w:r>
              <w:rPr>
                <w:rFonts w:eastAsia="仿宋_GB2312" w:cs="宋体" w:hint="eastAsia"/>
                <w:kern w:val="0"/>
                <w:sz w:val="21"/>
                <w:szCs w:val="21"/>
              </w:rPr>
              <w:t>2023年12月31日，全市12个区均已完成区智慧矫正中心的建设，得3分。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21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C12聘用社区矫正社会工作者人数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256人</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考察社区矫正工作人员的聘用人数情况。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截止2023年12月31日，全市在岗社区矫正专职社工256人，目标完成率100%，得3分。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1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C13社会适应指数评估系统应用覆盖区数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考察社会适应指数评估系统各区应用覆盖情况。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截止2023年12月31日，全市12个区均已应用社会适应指数评估系统，得2分。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63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C14社区矫正对象应收尽收率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考察社区矫正机构对社区矫正对象的入矫接收情况。</w:t>
              <w:br/>
              <w:t>社区矫正对象应收尽收率=（2023年度实际接收的入矫对象人数÷2023年度应该接收的入矫对象总人数）×100%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社区矫正对象应收尽收率达到100%，得权重分；否则，每发现1例社区矫正对象未按政策要求接收的，扣0.25分，扣完为止。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2023年，全市应该接收的新入矫对象3640人，实际接收新入矫对象3640人，社区矫正对象应收尽收率100%，得4分。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7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C15社区矫正对象应助尽助率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考察社区矫正机构对生活困难的社区矫正对象提供临时救助工作的完成情况。</w:t>
              <w:br/>
              <w:t>社区矫正对象应助尽助率=（实际救助的困难社区矫正对象人数÷应该救助的困难社区矫正对象总人数）×100%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社区矫正对象应助尽助率达到100%，得权重分；否则，每发现1例社区矫正对象应助未助，扣0.25分，扣完为止。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2023年，全市应该救助的困难社区矫正对象208人，实际救助的困难社区矫正对象208人，社区矫正对象应助尽助率100%，得3分。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76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C16教育帮扶活动开展次数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1256次</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考察社区矫正机构组织教育矫正、公益性活动、职业技能培训和就业指导等活动的需求满足情况。</w:t>
              <w:br/>
              <w:t>教育帮扶活动需求满足率=（实际开展的各类教育帮扶活动次数÷需要开展的各类教育帮扶活动总次数）×100%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2023年，全市实际开展的各类教育帮扶活动1337次，目标完成率=（1337÷1256）×100%=106.4%，得3分。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69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C17调查评估需求满足率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考察社区矫正机构对委托机构委托开展并完成的调查评估的情况。</w:t>
              <w:br/>
              <w:t>调查评估需求满足率=（实际完成的调查评估数量÷受委托需要完成的调查评估总数量）×100%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调查评估需求满足率达到100%，得权重分；否则，每低于目标值1%，扣权重分5%，扣完为止。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2023年，全市社区矫正机构受委托机构委托需要完成的调查评估2992个，实际完成的调查评估2956个，调查评估需求满足率=（2956÷2992）×100%=98.8%，应扣分数=3×10%×2=0.6分，指标得分=</w:t>
            </w:r>
            <w:r>
              <w:rPr>
                <w:rFonts w:eastAsia="仿宋_GB2312" w:cs="宋体"/>
                <w:kern w:val="0"/>
                <w:sz w:val="21"/>
                <w:szCs w:val="21"/>
              </w:rPr>
              <w:t>3</w:t>
            </w:r>
            <w:r>
              <w:rPr>
                <w:rFonts w:eastAsia="仿宋_GB2312" w:cs="宋体" w:hint="eastAsia"/>
                <w:kern w:val="0"/>
                <w:sz w:val="21"/>
                <w:szCs w:val="21"/>
              </w:rPr>
              <w:t>-0.6=2.4分。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2.4</w:t>
            </w:r>
          </w:p>
        </w:tc>
      </w:tr>
      <w:tr>
        <w:trPr>
          <w:trHeight w:val="277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C2产出质量</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C21社区矫正专职社工与在册社区矫正对象人数配备比例</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1:10至1:15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考察聘用的在岗社区矫正专职社工人数与在册社区矫正对象人数配备比例情况。</w:t>
              <w:br/>
              <w:t>全市社区矫正专职社工与在册社区矫正对象人数配备比例=全市社区矫正专职社工人数÷全市社区矫正对象在册总人数</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全市社区矫正专职社工与在册社区矫正对象人数配备比例介于1:10至1:15之间，得2分；否则，每偏离边界值1%，扣1分的5%，扣完为止；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hint="eastAsia"/>
                <w:kern w:val="0"/>
                <w:sz w:val="21"/>
                <w:szCs w:val="21"/>
                <w:lang w:val="en-US" w:eastAsia="zh-CN"/>
              </w:rPr>
              <w:t>至</w:t>
            </w:r>
            <w:r>
              <w:rPr>
                <w:rFonts w:eastAsia="仿宋_GB2312" w:cs="宋体" w:hint="eastAsia"/>
                <w:kern w:val="0"/>
                <w:sz w:val="21"/>
                <w:szCs w:val="21"/>
              </w:rPr>
              <w:t>2023年12月31日，全市社区矫正专职社工256人，全市在册社区矫正对象4041人，社区矫正专职社工与在册社区矫正对象人数配备比例为1:15.8，偏离边界值率=（15.8-15）÷15×100%=5.3%，应扣分数=2×6×5%=0.6分，指标得分=</w:t>
            </w:r>
            <w:r>
              <w:rPr>
                <w:rFonts w:eastAsia="仿宋_GB2312" w:cs="宋体"/>
                <w:kern w:val="0"/>
                <w:sz w:val="21"/>
                <w:szCs w:val="21"/>
              </w:rPr>
              <w:t>2-0.6=</w:t>
            </w:r>
            <w:r>
              <w:rPr>
                <w:rFonts w:eastAsia="仿宋_GB2312" w:cs="宋体" w:hint="eastAsia"/>
                <w:kern w:val="0"/>
                <w:sz w:val="21"/>
                <w:szCs w:val="21"/>
              </w:rPr>
              <w:t>1.4分；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1.4</w:t>
            </w:r>
          </w:p>
        </w:tc>
      </w:tr>
      <w:tr>
        <w:trPr>
          <w:trHeight w:val="164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C22新增漏管脱管人数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0人</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考察社区矫正日常监管工作对防范社区矫正对象脱管、漏管的情况。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未新增漏管脱管人员，得权重分；否则，得0分。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2023年全市未新增漏管脱管人员，得4分。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20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C23社区矫正对象矫正方案制定率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考察社区矫正机构为2023年度新入矫的社区矫正对象制定矫正方案工作的完成情况。</w:t>
              <w:br/>
              <w:t>社区矫正对象矫正方案制定率=（2023年度为新入矫社区矫正对象制定矫正方案人数÷2023年度新入矫总人数）×100%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社区矫正对象矫正方案制定率达到100%，得权重分；否则，每发现1例未按政策要求制定矫正方案的，扣0.25分，扣完为止。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2023年，全市新入矫社区矫正对象3640人，为新入矫的社区矫正对象制定矫正方案3640人，社区矫正对象矫正方案制定率100%，得2分。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243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C24社区矫正对象电子定位覆盖率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考察社区矫正机构对社区矫正对象的电子定位监管覆盖情况。</w:t>
              <w:br/>
              <w:t>社区矫正对象电子定位覆盖率=（使用电子定位设备的社区矫正对象人数÷应该使用电子定位设备的社区矫正总人数）×100%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社区矫正对象电子定位覆盖率达到100%，得权重分；否则每发现1例社区矫正对象未按政策要求使用电子定位监管的，扣0.25分，扣完为止。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2023年，全市应该使用电子定位设备监管的社区矫正对象总人次数6790人次，实际使用电子定位设备监管的社区矫正对象总人次数6790人次，社区矫正对象电子定位覆盖率100%，得2分。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4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C25教育帮扶活动参与率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考察社区矫正对象参与社区矫正机构组织的教育帮扶活动的情况。</w:t>
              <w:br/>
              <w:t>教育帮扶活动参与率=（实际参与活动的人次数÷应该参与活动的总人次数）×100%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教育帮扶活动参与率达到100%，得权重分；否则，每低于目标值1%，扣权重分5%，扣完为止。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各社区矫正机构开展的教育帮扶活动中，应该参与活动的社区矫正对象19330人次，实际参与的总人次为19313人次，教育帮扶活动参与率=（19313÷19330）×100%=99.91%，应扣分数=3×5%=0.15分，指标得分=3-0.15=2.85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2.85</w:t>
            </w:r>
          </w:p>
        </w:tc>
      </w:tr>
      <w:tr>
        <w:trPr>
          <w:trHeight w:val="195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C3产出时效</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C31社区矫正对象入矫接收及时率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考察社区矫正机构接收社区矫正对象入矫的及时情况。</w:t>
              <w:br/>
              <w:t>社区矫正对象入矫接收及时率=（自判决或裁定生效之日起十日内接收的社区矫正对象人数÷实际接收的社区矫正对象人数）×100%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社区矫正对象入矫接收及时率达到100%，得权重分；否则，每发现1例社区矫正对象未按政策要求及时接收入矫的，扣0.1分，扣完为止。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2023年，全市新入矫社区矫正对象3640人，其中自判决或裁定生效之日起十日内及时接收的社区矫正对象3635人，应扣分数=5×0.1=0.5分，指标得分=2-0.5=1.5分。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1.5</w:t>
            </w:r>
          </w:p>
        </w:tc>
      </w:tr>
      <w:tr>
        <w:trPr>
          <w:trHeight w:val="170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C32调查评估完成及时率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考察社区矫正机构对委托机构委托开展的调查评估的完成时效情况。</w:t>
              <w:br/>
              <w:t>调查评估完成及时率=（按规定时间内及时完成的调查评估数量÷完成的调查评估总数量）×100%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调查评估完成及时率达到100%，得权重分；否则按比例得分。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2023年，全市社区矫正机构受委托机构委托实际完成的调查评估2956个，其中及时完成的调查评估2956个，调查评估完成及时率100%，指标得2分。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67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C33社区矫正对象矫正方案制定及时率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考察社区矫正机构对社区矫正对象矫正方案制定的时效情况。</w:t>
              <w:br/>
              <w:t>社区矫正对象矫正方案制定及时率=（入矫宣告后五个工作日内制定矫正方案的矫正对象人数÷2023年度入矫总人数）×100%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社区矫正对象矫正方案制定及时率达到100%，得权重分；否则按比例得分。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2023年，全市已制定矫正方案的新入矫社区矫正对象3640人，其中及时制定矫正方案的社区矫正对象3640人，社区矫正对象矫正方案制定及时率100%，得2分。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718"/>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效益</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D1社会效益</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D11社区矫正对象再犯罪率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≤0.1%</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反映社区矫正工作对预防和减少犯罪的效益实现情况。</w:t>
              <w:br/>
              <w:t>社区矫正对象再犯罪率=（2023年度重新犯罪人数÷2023年度社区矫正在册总人数）×100%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社区矫正对象再犯罪率≤0.1%，得权重分；否则得0分。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截止2023年12月31日，全市在册社区矫正对象4041人，其中重新犯罪1人，社区矫正对象再犯罪率=（1÷4041）×100%=0.02%≤0.1%，得5分。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219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D12社区矫正对象就业率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≥上年值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反映社区矫正教育帮扶工作对增加社区矫正对象就业的效益实现情况。</w:t>
              <w:br/>
              <w:t>社区矫正对象就业率=（2023年底已参加就业的社区矫正对象人数÷2023年度社区矫正在册总人数）×100%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全市社区矫正对象就业率≥上年值，得3分；否则每低于上年值1%，扣权重分5%，扣完为止。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2023年全市参加就业的社区矫正对象2054人≥上年值（1894人），得3分。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25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D13有责投诉件数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0件</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反映社区矫正工作对社区矫正对象合法权益的保障情况。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未发生有责投诉事件，得权重分；否则，得0分。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2023年全市未发生有关社区矫正工作的有责投诉事件，得4分。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97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D14调查评估意见采信率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≥上年值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考察社区矫正机构受委托开展的调查评估结果意见被社区矫正决定机关的采信情况，以反映调查评估的质量。</w:t>
              <w:br/>
              <w:t>调查评估意见采信率=（被社区矫正决定机关采信的调查评估意见数量÷实际开展并出具的调查评估意见总数量）×100%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调查评估意见采信率达到上年值，得权重分；否则按比例得分。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2023年，全市社区矫正机构受委托开展并出具的调查评估意见2956个，其中被社区矫正决定机关采信的调查评估意见1561个，调查评估意见采信率=（1561÷2956）×100%=52.8%≥上年值（51.6%），指标得3分。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80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D15社区矫正社会知晓率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≥85%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通过问卷调研，反映社区矫正工作的社会知晓情况，项目实施是否联合社会力量共同参与社区矫正工作，周围社区居民的法律意识和社会责任感是否有所增强。</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达到或超过85%，得权重分；低于85%，按比例得分。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社会工作者及社区居民开展2023年社区矫正项目问卷调研，共收回有效问卷106份。其中社区居民46份问卷中，对社区矫正工作非常了解27人，了解程序一般19人。社区矫正社会知晓率=27÷46×100%+19÷46×70%=87.6%≥85%，指标得分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96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D2满意度</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D21社区矫正专职社工满意度</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通过问卷调研，考察项目实施后社区矫正专职社工人员的满意度情况。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达到或超过95%，得权重分；低于95%，，按比例得分。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矫正专职社工及社区居民开展2023年社区矫正项目问卷调研，共收回有效问卷106份。其中社区矫正专职社工60份问卷中，对南京市社区矫正工作总体情况非常满意36人，比较满意16人，基本满意6人，不太满意2人。</w:t>
              <w:br/>
              <w:t>社区矫正专职社工满意度=36÷60×100%+16÷60×80%+6÷60×60%=87.33%＜95%，应扣分数=5×(95-87)×5%=2分，指标得分=5×（87.33%÷95%）×100%=4.56分。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4.56</w:t>
            </w:r>
          </w:p>
        </w:tc>
      </w:tr>
      <w:tr>
        <w:trPr>
          <w:trHeight w:val="222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D22社区矫正对象满意度</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通过问卷调研，考察项目实施后社区矫正对象的满意度情况。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达到或超过90%，得权重分；低于90%，按比例得分。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矫正对象开展2023年社区矫正项目问卷调研，收回有效问卷71份，对南京市社区矫正工作总体情况非常满意69人，比较满意2人。矫正对象满意度=69÷71×100%+2÷71×80%=99.44%＞90%，指标得分6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6</w:t>
            </w:r>
          </w:p>
        </w:tc>
      </w:tr>
      <w:tr>
        <w:trPr>
          <w:trHeight w:val="578"/>
        </w:trPr>
        <w:tc>
          <w:tcPr>
            <w:tcW w:w="243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合计</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 xml:space="preserve">100 </w:t>
            </w:r>
          </w:p>
        </w:tc>
        <w:tc>
          <w:tcPr>
            <w:tcW w:w="1090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　</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95.</w:t>
            </w:r>
            <w:r>
              <w:rPr>
                <w:rFonts w:eastAsia="仿宋_GB2312" w:cs="宋体"/>
                <w:b/>
                <w:bCs/>
                <w:kern w:val="0"/>
                <w:sz w:val="21"/>
                <w:szCs w:val="21"/>
              </w:rPr>
              <w:t>71</w:t>
            </w:r>
          </w:p>
        </w:tc>
      </w:tr>
    </w:tbl>
    <w:p>
      <w:pPr>
        <w:spacing w:line="600" w:lineRule="exact"/>
        <w:ind w:firstLineChars="0" w:firstLine="0"/>
        <w:jc w:val="center"/>
        <w:rPr>
          <w:rFonts w:eastAsia="仿宋_GB2312"/>
          <w:szCs w:val="32"/>
        </w:rPr>
      </w:pPr>
    </w:p>
    <w:sectPr>
      <w:pgSz w:w="15840" w:h="12240" w:orient="landscape"/>
      <w:pgMar w:top="720" w:right="720" w:bottom="720" w:left="720" w:header="720" w:footer="720" w:gutter="0"/>
      <w:docGrid w:linePitch="435"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楷体_GB2312">
    <w:altName w:val="楷体"/>
    <w:panose1 w:val="02010609030101010101"/>
    <w:charset w:val="86"/>
    <w:family w:val="modern"/>
    <w:pitch w:val="variable"/>
    <w:sig w:usb0="00000000" w:usb1="00000000" w:usb2="00000010" w:usb3="00000000" w:csb0="00040000"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12529282"/>
      <w:showingPlcHdr/>
    </w:sdtPr>
    <w:sdtContent>
      <w:p>
        <w:pPr>
          <w:pStyle w:val="21"/>
          <w:tabs>
            <w:tab w:val="center" w:pos="4153"/>
            <w:tab w:val="right" w:pos="8306"/>
          </w:tabs>
          <w:jc w:val="center"/>
        </w:pPr>
        <w:r>
          <w:t xml:space="preserve">     </w:t>
        </w:r>
      </w:p>
    </w:sdtContent>
  </w:sdt>
  <w:p>
    <w:pPr>
      <w:pStyle w:val="21"/>
      <w:tabs>
        <w:tab w:val="center" w:pos="4153"/>
        <w:tab w:val="right" w:pos="8306"/>
      </w:tabs>
      <w:ind w:firstLineChars="0" w:firstLine="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sz w:val="24"/>
      </w:rPr>
    </w:pPr>
  </w:p>
  <w:p>
    <w:pPr>
      <w:pStyle w:val="21"/>
      <w:tabs>
        <w:tab w:val="center" w:pos="4153"/>
        <w:tab w:val="right" w:pos="8306"/>
      </w:tabs>
      <w:ind w:firstLineChars="0" w:firstLine="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11808636"/>
      <w:docPartList>
        <w:docPartGallery w:val="autotext"/>
      </w:docPartList>
    </w:sdtPr>
    <w:sdtEndPr>
      <w:rPr>
        <w:sz w:val="24"/>
      </w:rPr>
    </w:sdtEndPr>
    <w:sdtContent>
      <w:p>
        <w:pPr>
          <w:pStyle w:val="21"/>
          <w:tabs>
            <w:tab w:val="center" w:pos="4153"/>
            <w:tab w:val="right" w:pos="8306"/>
          </w:tabs>
          <w:jc w:val="center"/>
          <w:rPr>
            <w:sz w:val="24"/>
          </w:rPr>
        </w:pPr>
        <w:r>
          <w:rPr>
            <w:sz w:val="24"/>
          </w:rPr>
          <w:fldChar w:fldCharType="begin"/>
        </w:r>
        <w:r>
          <w:rPr>
            <w:sz w:val="24"/>
          </w:rPr>
          <w:instrText>PAGE   \* MERGEFORMAT</w:instrText>
        </w:r>
        <w:r>
          <w:rPr>
            <w:sz w:val="24"/>
          </w:rPr>
          <w:fldChar w:fldCharType="separate"/>
        </w:r>
        <w:r>
          <w:rPr>
            <w:sz w:val="24"/>
            <w:lang w:val="zh-CN"/>
          </w:rPr>
          <w:t>24</w:t>
        </w:r>
        <w:r>
          <w:rPr>
            <w:sz w:val="24"/>
          </w:rPr>
          <w:fldChar w:fldCharType="end"/>
        </w:r>
      </w:p>
    </w:sdtContent>
  </w:sdt>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ind w:firstLineChars="0" w:firstLine="0"/>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35E0127"/>
    <w:multiLevelType w:val="multilevel"/>
    <w:tmpl w:val="235E0127"/>
    <w:lvl w:ilvl="0">
      <w:start w:val="1"/>
      <w:numFmt w:val="decimal"/>
      <w:lvlRestart w:val="0"/>
      <w:lvlText w:val="%1."/>
      <w:lvlJc w:val="left"/>
      <w:pPr>
        <w:tabs>
          <w:tab w:val="num" w:pos="0"/>
        </w:tabs>
        <w:ind w:left="1060" w:hanging="420"/>
      </w:p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ocumentProtection w:edit="readOnly" w:enforcement="0"/>
  <w:defaultTabStop w:val="420"/>
  <w:drawingGridHorizontalSpacing w:val="105"/>
  <w:drawingGridVerticalSpacing w:val="143"/>
  <w:displayHorizontalDrawingGridEvery w:val="0"/>
  <w:displayVerticalDrawingGridEvery w:val="1"/>
  <w:noPunctuationKerning/>
  <w:compat>
    <w:spaceForUL/>
    <w:doNotExpandShiftReturn/>
    <w:compatSetting w:name="compatibilityMode" w:uri="http://schemas.microsoft.com/office/word" w:val="14"/>
  </w:compat>
  <w:docVars>
    <w:docVar w:name="commondata" w:val="eyJoZGlkIjoiNzAyOTc5MDQ3MTY4ZDEwN2QyNTU5MDBkZWJhYWE1YT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仿宋" w:cs="Times New Roman" w:hAnsi="Times New Roman"/>
      <w:kern w:val="2"/>
      <w:sz w:val="32"/>
      <w:szCs w:val="24"/>
      <w:lang w:val="en-US" w:eastAsia="zh-CN" w:bidi="ar-SA"/>
    </w:rPr>
  </w:style>
  <w:style w:type="paragraph" w:styleId="1">
    <w:name w:val="heading 1"/>
    <w:basedOn w:val="0"/>
    <w:next w:val="0"/>
    <w:pPr>
      <w:keepNext/>
      <w:keepLines/>
      <w:widowControl w:val="0"/>
      <w:spacing w:beforeLines="50" w:before="50" w:afterLines="50" w:after="50"/>
      <w:outlineLvl w:val="0"/>
    </w:pPr>
    <w:rPr>
      <w:rFonts w:ascii="仿宋"/>
      <w:b/>
      <w:bCs/>
      <w:kern w:val="44"/>
      <w:szCs w:val="44"/>
    </w:rPr>
  </w:style>
  <w:style w:type="paragraph" w:styleId="2">
    <w:name w:val="heading 2"/>
    <w:basedOn w:val="0"/>
    <w:next w:val="0"/>
    <w:pPr>
      <w:keepNext/>
      <w:keepLines/>
      <w:widowControl w:val="0"/>
      <w:spacing w:beforeLines="50" w:before="50" w:afterLines="50" w:after="50" w:line="416" w:lineRule="atLeast"/>
      <w:outlineLvl w:val="1"/>
    </w:pPr>
    <w:rPr>
      <w:rFonts w:ascii="等线 Light" w:cs="Times New Roman" w:hAnsi="等线 Light"/>
      <w:b/>
      <w:bCs/>
      <w:szCs w:val="32"/>
    </w:rPr>
  </w:style>
  <w:style w:type="paragraph" w:styleId="3">
    <w:name w:val="heading 3"/>
    <w:basedOn w:val="0"/>
    <w:next w:val="0"/>
    <w:pPr>
      <w:keepNext/>
      <w:keepLines/>
      <w:widowControl w:val="0"/>
      <w:spacing w:before="120" w:after="120" w:line="416" w:lineRule="atLeast"/>
      <w:outlineLvl w:val="2"/>
    </w:pPr>
    <w:rPr>
      <w:b/>
      <w:bCs/>
      <w:szCs w:val="32"/>
    </w:rPr>
  </w:style>
  <w:style w:type="paragraph" w:styleId="4">
    <w:name w:val="heading 4"/>
    <w:basedOn w:val="0"/>
    <w:next w:val="0"/>
    <w:pPr>
      <w:spacing w:beforeAutospacing="1" w:afterAutospacing="1"/>
      <w:jc w:val="left"/>
      <w:outlineLvl w:val="3"/>
    </w:pPr>
    <w:rPr>
      <w:rFonts w:ascii="宋体" w:eastAsia="宋体"/>
      <w:b/>
      <w:bCs/>
      <w:kern w:val="0"/>
      <w:sz w:val="24"/>
    </w:rPr>
  </w:style>
  <w:style w:type="character" w:default="1" w:styleId="10">
    <w:name w:val="Default Paragraph Font"/>
  </w:style>
  <w:style w:type="paragraph" w:styleId="15">
    <w:name w:val="annotation text"/>
    <w:basedOn w:val="0"/>
    <w:pPr>
      <w:jc w:val="left"/>
    </w:pPr>
  </w:style>
  <w:style w:type="paragraph" w:styleId="16">
    <w:name w:val="Body Text"/>
    <w:basedOn w:val="0"/>
    <w:rPr>
      <w:sz w:val="28"/>
      <w:szCs w:val="28"/>
    </w:rPr>
  </w:style>
  <w:style w:type="paragraph" w:styleId="17">
    <w:name w:val="toc 3"/>
    <w:basedOn w:val="0"/>
    <w:next w:val="0"/>
    <w:pPr>
      <w:widowControl/>
      <w:spacing w:after="100" w:line="259" w:lineRule="auto"/>
      <w:ind w:left="440" w:firstLineChars="0" w:firstLine="0"/>
      <w:jc w:val="left"/>
    </w:pPr>
    <w:rPr>
      <w:rFonts w:ascii="等线" w:eastAsia="等线"/>
      <w:kern w:val="0"/>
      <w:sz w:val="22"/>
      <w:szCs w:val="22"/>
    </w:rPr>
  </w:style>
  <w:style w:type="paragraph" w:styleId="18">
    <w:name w:val="Date"/>
    <w:basedOn w:val="0"/>
    <w:next w:val="0"/>
    <w:pPr>
      <w:ind w:leftChars="2500" w:left="2500"/>
    </w:pPr>
  </w:style>
  <w:style w:type="paragraph" w:styleId="19">
    <w:name w:val="endnote text"/>
    <w:basedOn w:val="0"/>
    <w:pPr>
      <w:snapToGrid w:val="0"/>
      <w:jc w:val="left"/>
    </w:pPr>
  </w:style>
  <w:style w:type="paragraph" w:styleId="20">
    <w:name w:val="Balloon Text"/>
    <w:basedOn w:val="0"/>
    <w:pPr>
      <w:spacing w:line="240" w:lineRule="auto"/>
    </w:pPr>
    <w:rPr>
      <w:sz w:val="18"/>
      <w:szCs w:val="18"/>
    </w:rPr>
  </w:style>
  <w:style w:type="paragraph" w:styleId="21">
    <w:name w:val="footer"/>
    <w:basedOn w:val="0"/>
    <w:pPr>
      <w:tabs>
        <w:tab w:val="center" w:pos="4153"/>
        <w:tab w:val="right" w:pos="8306"/>
      </w:tabs>
      <w:snapToGrid w:val="0"/>
      <w:spacing w:line="240" w:lineRule="atLeast"/>
      <w:jc w:val="left"/>
    </w:pPr>
    <w:rPr>
      <w:sz w:val="18"/>
      <w:szCs w:val="18"/>
    </w:rPr>
  </w:style>
  <w:style w:type="paragraph" w:styleId="22">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3">
    <w:name w:val="toc 1"/>
    <w:basedOn w:val="0"/>
    <w:next w:val="0"/>
  </w:style>
  <w:style w:type="paragraph" w:styleId="24">
    <w:name w:val="footnote text"/>
    <w:basedOn w:val="0"/>
    <w:pPr>
      <w:snapToGrid w:val="0"/>
      <w:jc w:val="left"/>
    </w:pPr>
    <w:rPr>
      <w:sz w:val="18"/>
      <w:szCs w:val="18"/>
    </w:rPr>
  </w:style>
  <w:style w:type="paragraph" w:styleId="25">
    <w:name w:val="toc 2"/>
    <w:basedOn w:val="0"/>
    <w:next w:val="0"/>
    <w:pPr>
      <w:ind w:leftChars="200" w:left="200"/>
    </w:pPr>
  </w:style>
  <w:style w:type="paragraph" w:styleId="26">
    <w:name w:val="annotation subject"/>
    <w:basedOn w:val="15"/>
    <w:next w:val="15"/>
    <w:rPr>
      <w:b/>
      <w:bCs/>
    </w:rPr>
  </w:style>
  <w:style w:type="character" w:styleId="27">
    <w:name w:val="Strong"/>
    <w:basedOn w:val="10"/>
    <w:rPr>
      <w:b/>
    </w:rPr>
  </w:style>
  <w:style w:type="character" w:styleId="28">
    <w:name w:val="endnote reference"/>
    <w:basedOn w:val="10"/>
    <w:rPr>
      <w:vertAlign w:val="superscript"/>
    </w:rPr>
  </w:style>
  <w:style w:type="character" w:styleId="29">
    <w:name w:val="Hyperlink"/>
    <w:basedOn w:val="10"/>
    <w:rPr>
      <w:color w:val="0563C1"/>
      <w:u w:val="single"/>
    </w:rPr>
  </w:style>
  <w:style w:type="character" w:styleId="30">
    <w:name w:val="annotation reference"/>
    <w:basedOn w:val="10"/>
    <w:rPr>
      <w:sz w:val="21"/>
      <w:szCs w:val="21"/>
    </w:rPr>
  </w:style>
  <w:style w:type="character" w:styleId="31">
    <w:name w:val="footnote reference"/>
    <w:basedOn w:val="10"/>
    <w:rPr>
      <w:vertAlign w:val="superscript"/>
    </w:rPr>
  </w:style>
  <w:style w:type="paragraph" w:styleId="32">
    <w:name w:val="No Spacing"/>
    <w:pPr>
      <w:widowControl w:val="0"/>
      <w:ind w:firstLineChars="200" w:firstLine="200"/>
      <w:jc w:val="both"/>
    </w:pPr>
    <w:rPr>
      <w:rFonts w:ascii="Times New Roman" w:eastAsia="仿宋" w:cs="Times New Roman" w:hAnsi="Times New Roman"/>
      <w:kern w:val="2"/>
      <w:sz w:val="32"/>
      <w:szCs w:val="24"/>
      <w:lang w:val="en-US" w:eastAsia="zh-CN" w:bidi="ar-SA"/>
    </w:rPr>
  </w:style>
  <w:style w:type="paragraph" w:customStyle="1" w:styleId="33">
    <w:name w:val="TOC 标题1"/>
    <w:basedOn w:val="1"/>
    <w:next w:val="0"/>
    <w:pPr>
      <w:keepNext/>
      <w:keepLines/>
      <w:widowControl/>
      <w:spacing w:beforeLines="0" w:before="240" w:line="259" w:lineRule="auto"/>
      <w:ind w:firstLineChars="0" w:firstLine="0"/>
      <w:jc w:val="left"/>
      <w:outlineLvl w:val="9"/>
    </w:pPr>
    <w:rPr>
      <w:rFonts w:ascii="等线 Light" w:eastAsia="等线 Light" w:cs="Times New Roman"/>
      <w:b w:val="0"/>
      <w:bCs w:val="0"/>
      <w:color w:val="2F5597"/>
      <w:kern w:val="0"/>
      <w:szCs w:val="32"/>
    </w:rPr>
  </w:style>
  <w:style w:type="paragraph" w:customStyle="1" w:styleId="34">
    <w:name w:val="WPSOffice手动目录 1"/>
    <w:rPr>
      <w:rFonts w:ascii="等线" w:eastAsia="等线" w:cs="Arial"/>
      <w:sz w:val="20"/>
      <w:szCs w:val="20"/>
      <w:lang w:val="en-US" w:eastAsia="zh-CN" w:bidi="ar-SA"/>
    </w:rPr>
  </w:style>
  <w:style w:type="paragraph" w:customStyle="1" w:styleId="35">
    <w:name w:val="WPSOffice手动目录 2"/>
    <w:pPr>
      <w:ind w:leftChars="200" w:left="200"/>
    </w:pPr>
    <w:rPr>
      <w:rFonts w:ascii="等线" w:eastAsia="等线" w:cs="Arial"/>
      <w:sz w:val="20"/>
      <w:szCs w:val="20"/>
      <w:lang w:val="en-US" w:eastAsia="zh-CN" w:bidi="ar-SA"/>
    </w:rPr>
  </w:style>
  <w:style w:type="paragraph" w:customStyle="1" w:styleId="36">
    <w:name w:val="表格里的格式"/>
    <w:basedOn w:val="0"/>
    <w:pPr>
      <w:spacing w:line="240" w:lineRule="auto"/>
      <w:jc w:val="left"/>
    </w:pPr>
    <w:rPr>
      <w:rFonts w:ascii="仿宋" w:cs="仿宋"/>
      <w:sz w:val="21"/>
      <w:szCs w:val="21"/>
    </w:rPr>
  </w:style>
  <w:style w:type="character" w:customStyle="1" w:styleId="37">
    <w:name w:val="font11"/>
    <w:basedOn w:val="10"/>
    <w:rPr>
      <w:rFonts w:ascii="仿宋" w:eastAsia="仿宋"/>
      <w:b/>
      <w:bCs/>
      <w:color w:val="000000"/>
      <w:sz w:val="24"/>
      <w:szCs w:val="24"/>
      <w:u w:val="none"/>
    </w:rPr>
  </w:style>
  <w:style w:type="character" w:customStyle="1" w:styleId="38">
    <w:name w:val="font31"/>
    <w:basedOn w:val="10"/>
    <w:rPr>
      <w:rFonts w:ascii="方正仿宋_GBK" w:eastAsia="方正仿宋_GBK" w:cs="方正仿宋_GBK"/>
      <w:color w:val="000000"/>
      <w:sz w:val="20"/>
      <w:szCs w:val="20"/>
      <w:u w:val="none"/>
    </w:rPr>
  </w:style>
  <w:style w:type="paragraph" w:customStyle="1" w:styleId="39">
    <w:name w:val="TOC 标题2"/>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597"/>
      <w:kern w:val="0"/>
      <w:szCs w:val="32"/>
    </w:rPr>
  </w:style>
  <w:style w:type="paragraph" w:customStyle="1" w:styleId="40">
    <w:name w:val="南京正文"/>
    <w:basedOn w:val="0"/>
    <w:rPr>
      <w:kern w:val="0"/>
      <w:szCs w:val="28"/>
      <w:lang w:val="zh-CN"/>
    </w:rPr>
  </w:style>
  <w:style w:type="paragraph" w:styleId="41">
    <w:name w:val="List Paragraph"/>
    <w:basedOn w:val="0"/>
  </w:style>
  <w:style w:type="paragraph" w:customStyle="1" w:styleId="42">
    <w:name w:val="TOC Heading"/>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597"/>
      <w:kern w:val="0"/>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23</Pages>
  <Words>11308</Words>
  <Characters>12538</Characters>
  <Lines>1151</Lines>
  <Paragraphs>370</Paragraphs>
  <CharactersWithSpaces>12840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潘 秋</dc:creator>
  <cp:lastModifiedBy>casic</cp:lastModifiedBy>
  <cp:revision>55</cp:revision>
  <cp:lastPrinted>2024-07-03T09:54:00Z</cp:lastPrinted>
  <dcterms:created xsi:type="dcterms:W3CDTF">2024-06-28T06:54:00Z</dcterms:created>
  <dcterms:modified xsi:type="dcterms:W3CDTF">2026-02-24T06:09:44Z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F5A84A344048423884EE5DDE8E47B3A4</vt:lpwstr>
  </property>
  <property fmtid="{D5CDD505-2E9C-101B-9397-08002B2CF9AE}" pid="4" name="KSOTemplateDocerSaveRecord">
    <vt:lpwstr>eyJoZGlkIjoiNzNiYjZmMGZhZjUwZTUwM2RhNTZiZjIzMDkxYWVhZGYiLCJ1c2VySWQiOiI2ODU3MDgwNjMifQ==</vt:lpwstr>
  </property>
</Properties>
</file>