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2026年度南京市司法局部门预算公开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（一）承担全面依法治市重大问题的政策研究，协调有关方面提出全面依法治市中长期规划建议，负责有关重大决策部署督查工作。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承担统筹规划立法工作的责任。协调有关方面提出立法规划和年度立法工作计划的建议，负责跟踪了解各部门对立法工作计划的落实情况，加强组织协调和督促指导，研究提出立法与改革决策相衔接的意见、措施。负责面向社会征集市级地方性法规、市政府规章制定项目建议。</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负责起草或组织起草有关市级地方性法规、市政府规章草案。承担审查修改、协调论证市级部门和区政府报送市政府的地方性法规、规章草案的责任。承办相关法律、法规和规章草案的征求意见工作。负责立法协调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承办市政府规章的解释、立法后评估、备案工作。负责协调各区各部门实施法律、法规、规章中的有关争议和问题。承办市政府规章清理、编纂工作，组织翻译、审定市政府规章外文正式译本。承办区政府以及市级部门规范性文件的备案审查工作。负责有关市政府规范性文件或拟由市政府批准的市级部门规范性文件的合法性审查和清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承担统筹推进法治政府建设的责任。指导、监督市政府各部门、区级以下各级人民政府依法行政工作。负责综合协调行政执法，承担推进行政执法体制改革有关工作，推进严格规范公正文明执法。承担市政府的行政复议、行政应诉、行政赔偿工作。指导监督全市行政复议、行政应诉和行政赔偿工作，负责办理行政复议和行政应诉案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承担统筹规划法治社会建设的责任。负责拟订法治宣传教育规划，组织实施普法宣传工作，组织对外法治宣传。指导依法治理和法治创建工作。指导调解工作和人民陪审员、人民监督员选任管理工作，推进司法所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（七）指导、管理社区矫正工作。指导刑满释放人员帮教安置工作。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（八）负责本系统戒毒管理工作。指导、监督本系统强制隔离戒毒执行和戒毒康复工作。对社区戒毒和社区康复工作提供指导、支持和协助。</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负责拟订公共法律服务体系建设规划并指导实施，统筹和布局城乡、区域法律服务资源。指导监督全市律师、法律援助、司法鉴定、公证和基层法律服务管理工作。指导协调全市12348法律服务工作。指导监督全市公职律师、公司律师工作。承担市政府法律顾问职责。按照“放管服”改革要求，承担律师、公证、司法鉴定、基层法律服务等行政审批服务事项，深入推进简政放权，强化事中事后监管，实现“一窗受理”“一网通办”，全面提升审批服务便民化水平，不断优化营商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（十）负责国家统一法律职业资格考试南京考区的组织实施工作。负责全市国家统一法律职业资格和证书管理工作。负责规划和指导法律职业人员入职前培训工作。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（十一）指导本系统对外交流合作，承办司法行政涉港澳台法律事务。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（十二）负责本系统服装和警车管理工作，指导监督本系统财务、装备、设施、场所等保障工作。负责本系统的内部审计工作。指导本系统的信息化建设。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（十三）规划、协调、指导全市法治人才队伍建设相关工作，指导、监督本系统队伍建设，管理直属强制隔离戒毒单位领导班子，协助各区管理司法局领导干部。负责本系统警务管理和警务督察工作。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（十四）完成市委、市政府交办的其他任务。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本部门无内设机构。本部门下属单位包括：南京市大连山强制隔离戒毒所，南京市法律援助中心。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3</w:t>
      </w:r>
      <w:r>
        <w:rPr>
          <w:rFonts w:hint="eastAsia" w:ascii="仿宋" w:hAnsi="仿宋" w:eastAsia="仿宋" w:cs="仿宋"/>
        </w:rPr>
        <w:t>家，具体包括：</w:t>
      </w:r>
      <w:r>
        <w:rPr>
          <w:rFonts w:ascii="仿宋" w:hAnsi="仿宋" w:eastAsia="仿宋" w:cs="仿宋"/>
          <w:u w:color="auto"/>
        </w:rPr>
        <w:t>南京市司法局，南京市大连山强制隔离戒毒所，南京市法律援助中心。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市司法局将坚持以习近平新时代中国特色社会主义思想为指引，深入学习贯彻党的二十届四中全会精神和习近平法治思想，认真落实习近平总书记对全面依法治国工作作出的重要指示，围绕“扛好挑大梁的省会担当”这一工作要求，进一步增强挑大梁的政治自觉、思想自觉、行动自觉，坚持改革创新，狠抓工作落实，加快推进全市司法行政工作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建设更高水平法治南京。深入学习贯彻习近平法治思想，将全面贯彻落实党的二十届四中全会精神与学习贯彻习近平法治思想结合起来。筹备召开市委全面依法治市工作会议，制定出台新一轮法治南京建设规划。丰富创新立法工作形式，深入推进“小快灵”立法，积极探索区域协同立法。健全完善公众参与立法机制，做好政府规章的立改废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扎实推进法治政府建设。落实法治政府建设年度工作报告制度。推进严格规范公正文明执法，深入开展严格规范涉企行政检查，进一步完善行政监督体系，建设行政执法和监督综合平台。综合运用书面督察、实地督察等方式开展法治督察工作。加强和规范行政复议应诉工作，落实行政复议意见书、抄告等制度，推动复议监督效能向案前、案后延伸。深化府院联动，发挥行政争议调解中心及工作站（点）作用，促进行政机关参与行政争议调解。深入推进全市行政机关负责人出庭应诉质效实施意见，提升出庭应诉质效，深化推进诉源治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建设现代公共法律服务体系。按照“管理结构扁平化、供给平台一体化、资源配置精准化、服务产品多元化、功能保障专业化”的标准，建设人民满意、覆盖全市、层次分明、可持续发展的现代公共法律服务体系。推进南京法律服务产业园建设，促进法律服务行业发展。深入宣传贯彻法治宣传教育法，根据国家、省级“九五”普法规划，认真谋划我市“九五”普法规划实施方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提升基层治理服务效能。持续深化“新时代枫桥经验”实践，推动非诉服务与基层治理深度融合。扩大商事调解市场化试点范围，探索在更多行业和领域推广。推进司法所与基层法庭“庭所共建”，强化阵地建设和分类指导。统筹推进“五项工作”，积极探索监地合作新模态，深入推进安置帮教工作前置化，引入专业心理组织深化罪犯心理矫治合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是加快推进涉外法治建设。提升涉外法治供给能力，充分发挥江苏（南京）涉外法律服务中心平台功能，推动南京市紫金山国际商事调解院实体化高效运行，积极培育国际一流涉外律师事务所。拓宽涉外法治人才引育路径，围绕国际贸易争端、跨境投资并购、涉外知识产权、企业国际化合规经营等领域，加快引进和培育高层次涉外法治人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是大力推进司法行政领域改革。推动贯彻落实《全面深化法治领域改革纲要（2023-2027年）》涉及改革任务落地落实。加强行政决策的法治化建设，进一步完善重大行政决策、行政规范性文件合法性审核机制。积极指导各区深化基层法治审核工作，确保2026年6月底前，具有法律专业背景的基层法治审核机构人员配备到位。</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南京市司法局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南京市司法局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17,041.29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10,406.16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2,050.01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4,585.12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17,041.29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17,041.29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17,041.29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17,041.29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17,041.29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17,041.29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17,041.29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南京市司法局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17,041.29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17,041.29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17,041.29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南京市司法局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7,698.36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7,698.36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7,698.36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138002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南京市大连山强制隔离戒毒所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138003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南京市法律援助中心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836.94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836.94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836.94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17,041.29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15,911.67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1,129.62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10,406.16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9,276.54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5,049.50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基层司法业务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普法宣传</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律师管理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公共法律服务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国家统一法律职业资格考试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社区矫正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法治建设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强制隔离戒毒</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强制隔离戒毒人员生活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强制隔离戒毒人员教育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所政设施建设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其他强制隔离戒毒支出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931.63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3,438.23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3,438.23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南京市司法局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17,041.29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17,041.29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17,041.29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10,406.16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2,050.01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4,585.12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17,041.29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17,041.29</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17,041.29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15,911.67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14,679.37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1,232.30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1,129.62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10,406.16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9,276.54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1,129.62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1,009.62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3,582.04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3,229.12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352.92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基层司法业务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普法宣传</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律师管理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公共法律服务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国家统一法律职业资格考试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社区矫正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法治建设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强制隔离戒毒</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强制隔离戒毒人员生活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强制隔离戒毒人员教育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所政设施建设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其他强制隔离戒毒支出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2,013.58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2,013.58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4,585.12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4,585.12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4,585.12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4,585.12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4,585.12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4,585.12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1,146.89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1,146.89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1,146.89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3,438.23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3,438.23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南京市司法局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15,911.67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14,679.37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12,583.54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12,583.54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1,780.43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17,041.29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15,911.67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14,679.37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1,232.30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10,406.16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9,276.54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1,129.62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5,049.50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4,039.88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3,229.12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352.92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基层司法业务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普法宣传</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律师管理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公共法律服务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国家统一法律职业资格考试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社区矫正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法治建设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强制隔离戒毒</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强制隔离戒毒人员生活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强制隔离戒毒人员教育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所政设施建设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其他强制隔离戒毒支出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2,013.58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2,013.58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931.63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4,585.12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3,438.23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3,438.23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15,911.67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14,679.37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12,583.54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12,583.54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1,780.43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45.76</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984.85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984.85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236.21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132.78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69.37</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南京市司法局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南京市大连山强制隔离戒毒所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南京市司法局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2026年公共法律服务工作经费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人民调解服务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2026年依法行政法律助理购买服务工作经费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其他法律服务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南京市司法局2026年度收入、支出预算总计17,041.29万元，与上年相比收、支预算总计各增加0.4万元，增长0%（该占比四舍五入后为0%）。其中：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（一）收入预算总计17,041.29万元。包括：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1．本年收入合计17,041.29万元。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17,041.29万元，与上年相比增加0.4万元，增长0%（该占比四舍五入后为0%）。主要原因是一是人员经费随人员结构变化而变化；二是医疗、工伤、生育保险等人员经费随政策性缴存口径相应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（二）支出预算总计17,041.29万元。包括：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1．本年支出合计17,041.29万元。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共安全支出（类）支出10,406.16万元，主要用于市司法局行政机关及直属单位开展司法行政工作而发生的基本支出和项目支出。与上年相比减少140.58万元，减少1.33%。主要原因是一是人员结构发生变化，人员经费和公用经费随之相应变化；二是落实“过紧日子”政策要求，压减一般性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2,050.01万元，主要用于市司法局行政机关及直属单位离退休工作和机关事业单位养老保险、职业年金缴费支出。与上年相比增加98.41万元，增长5.04%。主要原因是人员结构发生变化，人员经费和公用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（3）住房保障支出（类）支出4,585.12万元，主要用于市司法局行政机关及直属单位住房补贴和住房公积金支出。与上年相比增加42.57万元，增长0.94%。主要原因是人员结构发生变化，人员经费随之相应变化。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南京市司法局2026年收入预算合计17,041.29万元，包括本年收入17,041.29万元，上年结转结余0万元。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本年一般公共预算收入17,041.29万元，占100%；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南京市司法局2026年支出预算合计17,041.29万元，其中：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基本支出15,911.67万元，占93.37%；</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项目支出1,129.62万元，占6.63%；</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财政拨款收、支总预算17,041.29万元。与上年相比，财政拨款收、支总计各增加0.4万元，增长0%（该占比四舍五入后为0%）。主要原因是一是人员经费随人员结构变化而变化；二是医疗、工伤、生育保险等人员经费随政策性缴存口径相应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财政拨款预算支出17,041.29万元，占本年支出合计的100%。与上年相比，财政拨款支出增加0.4万元，增长0%（该占比四舍五入后为0%）。主要原因是一是人员经费随人员结构变化而变化；二是医疗、工伤、生育保险等人员经费随政策性缴存口径相应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1.司法（款）行政运行（项）支出3,582.04万元，与上年相比增加200.27万元，增长5.92%。主要原因是人员结构发生变化，人员经费和公用经费随之相应变化。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2.司法（款）一般行政管理事务（项）支出0万元，与上年相比减少30万元，减少100%。主要原因是2026年无一般行政管理事务项目支出。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3.司法（款）基层司法业务（项）支出38万元，与上年相比减少12万元，减少24%。主要原因是落实“过紧日子”的政策要求，压减一般性开支。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4.司法（款）普法宣传（项）支出55万元，与上年相比减少15万元，减少21.43%。主要原因是落实“过紧日子”的政策要求，压减一般性开支。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5.司法（款）律师管理（项）支出50万元，与上年相比减少13万元，减少20.63%。主要原因是落实“过紧日子”的政策要求，压减一般性开支。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6.司法（款）公共法律服务（项）支出518万元，与上年相比增加36万元，增长7.47%。主要原因是保障新建成的江苏（南京）涉外法律服务中心日常运转费用。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7.司法（款）国家统一法律职业资格考试（项）支出120万元，与上年相比减少20万元，减少14.29%。主要原因是落实“过紧日子”的政策要求，压减一般性开支。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8.司法（款）社区矫正（项）支出20.62万元，与上年相比减少5.38万元，减少20.69%。主要原因是落实“过紧日子”的政策要求，压减一般性开支。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9.司法（款）法治建设（项）支出208万元，与上年相比减少146万元，减少41.24%。主要原因是落实“过紧日子”的政策要求，压减一般性开支。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10.司法（款）事业运行（项）支出457.84万元，与上年相比增加7.68万元，增长1.71%。主要原因是人员结构发生变化，人员经费和公用经费随之相应变化。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11.强制隔离戒毒（款）行政运行（项）支出5,236.66万元，与上年相比减少109.34万元，减少2.05%。主要原因是人员结构发生变化，人员经费和公用经费随之相应变化。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12.强制隔离戒毒（款）强制隔离戒毒人员生活（项）支出20.34万元，与上年相比减少4.22万元，减少17.18%。主要原因是落实“过紧日子”的政策要求，压减一般性开支。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13.强制隔离戒毒（款）强制隔离戒毒人员教育（项）支出1.68万元，与上年相比减少1.42万元，减少45.81%。主要原因是落实“过紧日子”的政策要求，压减一般性开支。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14.强制隔离戒毒（款）所政设施建设（项）支出7.86万元，与上年相比减少39.66万元，减少83.46%。主要原因是落实“过紧日子”的政策要求，压减一般性开支。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15.强制隔离戒毒（款）信息化建设（项）支出25万元，与上年相比增加25万元（去年预算数为0万元，无法计算增减比率）。主要原因是新增办公设备购置经费。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16.强制隔离戒毒（款）其他强制隔离戒毒支出（项）支出65.12万元，与上年相比减少13.51万元，减少17.18%。主要原因是落实“过紧日子”的政策要求，压减一般性开支。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1.行政事业单位养老支出（款）行政单位离退休（项）支出652.56万元，与上年相比增加11.12万元，增长1.73%。主要原因是人员结构发生变化，人员经费和公用经费随之相应变化。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2.行政事业单位养老支出（款）机关事业单位基本养老保险缴费支出（项）支出931.63万元，与上年相比增加58.19万元，增长6.66%。主要原因是人员结构发生变化，人员经费</w:t>
      </w:r>
      <w:bookmarkStart w:id="0" w:name="_GoBack"/>
      <w:bookmarkEnd w:id="0"/>
      <w:r>
        <w:rPr>
          <w:rFonts w:ascii="仿宋" w:hAnsi="仿宋" w:eastAsia="仿宋" w:cs="仿宋"/>
          <w:u w:color="auto"/>
        </w:rPr>
        <w:t>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3.行政事业单位养老支出（款）机关事业单位职业年金缴费支出（项）支出465.82万元，与上年相比增加29.1万元，增长6.66%。主要原因是人员结构发生变化，人员经费随之相应变化。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1.住房改革支出（款）住房公积金（项）支出1,146.89万元，与上年相比增加20.03万元，增长1.78%。主要原因是人员结构发生变化，人员经费随之相应变化。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2.住房改革支出（款）提租补贴（项）支出3,438.23万元，与上年相比增加22.54万元，增长0.66%。主要原因是人员结构发生变化，人员经费随之相应变化。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南京市司法局2026年度财政拨款基本支出预算15,911.67万元，其中：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14,679.37万元。主要包括：基本工资、津贴补贴、奖金、绩效工资、机关事业单位基本养老保险缴费、职业年金缴费、职工基本医疗保险缴费、其他社会保障缴费、住房公积金、医疗费、其他工资福利支出、离休费、退休费、生活补助、其他对个人和家庭的补助、其他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1,232.3万元。主要包括：办公费、印刷费、水费、电费、邮电费、物业管理费、差旅费、维修（护）费、租赁费、会议费、培训费、公务接待费、专用材料费、工会经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一般公共预算财政拨款支出预算17,041.29万元，与上年相比增加0.4万元，增长0%（该占比四舍五入后为0%）。主要原因是一是人员经费随人员结构变化而变化；二是医疗、工伤、生育保险等人员经费随政策性缴存口径相应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南京市司法局2026年度一般公共预算财政拨款基本支出预算15,911.67万元，其中：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14,679.37万元。主要包括：基本工资、津贴补贴、奖金、绩效工资、机关事业单位基本养老保险缴费、职业年金缴费、职工基本医疗保险缴费、其他社会保障缴费、住房公积金、医疗费、其他工资福利支出、离休费、退休费、生活补助、其他对个人和家庭的补助、其他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1,232.3万元。主要包括：办公费、印刷费、水费、电费、邮电费、物业管理费、差旅费、维修（护）费、租赁费、会议费、培训费、公务接待费、专用材料费、工会经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一般公共预算拨款安排的“三公”经费支出预算45.76万元，比上年预算减少6.68万元，变动原因落实“过紧日子”的政策要求，压减一般性开支。其中，因公出国（境）费支出0万元，占“三公”经费的0%；公务用车购置及运行维护费支出32.76万元，占“三公”经费的71.59%；公务接待费支出13万元，占“三公”经费的28.41%。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2．公务用车购置及运行维护费预算支出32.76万元。其中：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（2）公务用车运行维护费预算支出32.76万元，比上年预算减少4.68万元，主要原因是落实“过紧日子”的政策要求，压减一般性开支。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3．公务接待费预算支出13万元，比上年预算减少2万元，主要原因是落实“过紧日子”的政策要求，压减一般性开支。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南京市司法局2026年度一般公共预算拨款安排的会议费预算支出9万元，比上年预算减少2万元，主要原因是落实“过紧日子”的政策要求，压减一般性开支。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南京市司法局2026年度一般公共预算拨款安排的培训费预算支出25万元，比上年预算减少19万元，主要原因是落实“过紧日子”的政策要求，压减一般性开支。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南京市司法局2026年国有资本经营预算支出0万元。与上年预算数相同。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2026年本部门一般公共预算机关运行经费预算支出984.85万元，与上年相比减少83.43万元，减少7.81%。主要原因是落实“过紧日子”的政策要求，压减一般性开支。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2026年度政府采购支出预算总额225万元，其中：拟采购货物支出25万元、拟采购工程支出0万元、拟采购服务支出200万元。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12辆，其中，副部（省）级及以上领导用车0辆、主要负责人用车0辆、机要通信用车0辆、应急保障用车1辆、执法执勤用车10辆、特种专业技术用车1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17,041.29万元；本部门共17个项目纳入绩效目标管理，涉及财政性资金合计1,129.62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八、公共安全支出(类)司法(款)行政运行(项)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九、公共安全支出(类)司法(款)基层司法业务(项)</w:t>
      </w:r>
      <w:r>
        <w:rPr>
          <w:rFonts w:ascii="仿宋" w:hAnsi="仿宋" w:eastAsia="仿宋" w:cs="仿宋"/>
          <w:b/>
          <w:u w:color="auto"/>
        </w:rPr>
        <w:t>：</w:t>
      </w:r>
      <w:r>
        <w:rPr>
          <w:rFonts w:hint="eastAsia" w:ascii="仿宋" w:hAnsi="仿宋" w:eastAsia="仿宋" w:cs="仿宋"/>
        </w:rPr>
        <w:t>反映各级司法行政部门用于基层业务的支出，包括基层工作指导费、调解费、安置帮教费、司法所经费和公共法律服务平台相关支出、人民陪审员选任管理费用、人民监督员选任管理费用等支出。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十、公共安全支出(类)司法(款)普法宣传(项)</w:t>
      </w:r>
      <w:r>
        <w:rPr>
          <w:rFonts w:ascii="仿宋" w:hAnsi="仿宋" w:eastAsia="仿宋" w:cs="仿宋"/>
          <w:b/>
          <w:u w:color="auto"/>
        </w:rPr>
        <w:t>：</w:t>
      </w:r>
      <w:r>
        <w:rPr>
          <w:rFonts w:hint="eastAsia" w:ascii="仿宋" w:hAnsi="仿宋" w:eastAsia="仿宋" w:cs="仿宋"/>
        </w:rPr>
        <w:t>反映各级司法行政部门用于组织各种媒体的宣传、普法装备与设施、宣传资料、对外宣传、法制作品的审读评审等方面的支出。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十一、公共安全支出(类)司法(款)律师管理(项)</w:t>
      </w:r>
      <w:r>
        <w:rPr>
          <w:rFonts w:ascii="仿宋" w:hAnsi="仿宋" w:eastAsia="仿宋" w:cs="仿宋"/>
          <w:b/>
          <w:u w:color="auto"/>
        </w:rPr>
        <w:t>：</w:t>
      </w:r>
      <w:r>
        <w:rPr>
          <w:rFonts w:hint="eastAsia" w:ascii="仿宋" w:hAnsi="仿宋" w:eastAsia="仿宋" w:cs="仿宋"/>
        </w:rPr>
        <w:t>反映司法行政部门用于律师管理和法律顾问的相关支出。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十二、公共安全支出(类)司法(款)公共法律服务(项)</w:t>
      </w:r>
      <w:r>
        <w:rPr>
          <w:rFonts w:ascii="仿宋" w:hAnsi="仿宋" w:eastAsia="仿宋" w:cs="仿宋"/>
          <w:b/>
          <w:u w:color="auto"/>
        </w:rPr>
        <w:t>：</w:t>
      </w:r>
      <w:r>
        <w:rPr>
          <w:rFonts w:hint="eastAsia" w:ascii="仿宋" w:hAnsi="仿宋" w:eastAsia="仿宋" w:cs="仿宋"/>
        </w:rPr>
        <w:t>反映司法行政部门用于法律援助、司法鉴定、公证、仲裁等公共法律服务工作的相关支出。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十三、公共安全支出(类)司法(款)国家统一法律职业资格考试(项)</w:t>
      </w:r>
      <w:r>
        <w:rPr>
          <w:rFonts w:ascii="仿宋" w:hAnsi="仿宋" w:eastAsia="仿宋" w:cs="仿宋"/>
          <w:b/>
          <w:u w:color="auto"/>
        </w:rPr>
        <w:t>：</w:t>
      </w:r>
      <w:r>
        <w:rPr>
          <w:rFonts w:hint="eastAsia" w:ascii="仿宋" w:hAnsi="仿宋" w:eastAsia="仿宋" w:cs="仿宋"/>
        </w:rPr>
        <w:t>反映司法行政部门用于国家统一法律职业资格考试及管理的相关支出。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十四、公共安全支出(类)司法(款)社区矫正(项)</w:t>
      </w:r>
      <w:r>
        <w:rPr>
          <w:rFonts w:ascii="仿宋" w:hAnsi="仿宋" w:eastAsia="仿宋" w:cs="仿宋"/>
          <w:b/>
          <w:u w:color="auto"/>
        </w:rPr>
        <w:t>：</w:t>
      </w:r>
      <w:r>
        <w:rPr>
          <w:rFonts w:hint="eastAsia" w:ascii="仿宋" w:hAnsi="仿宋" w:eastAsia="仿宋" w:cs="仿宋"/>
        </w:rPr>
        <w:t>反映司法行政部门用于社区矫正的相关支出。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十五、公共安全支出(类)司法(款)法治建设(项)</w:t>
      </w:r>
      <w:r>
        <w:rPr>
          <w:rFonts w:ascii="仿宋" w:hAnsi="仿宋" w:eastAsia="仿宋" w:cs="仿宋"/>
          <w:b/>
          <w:u w:color="auto"/>
        </w:rPr>
        <w:t>：</w:t>
      </w:r>
      <w:r>
        <w:rPr>
          <w:rFonts w:hint="eastAsia" w:ascii="仿宋" w:hAnsi="仿宋" w:eastAsia="仿宋" w:cs="仿宋"/>
        </w:rPr>
        <w:t>反映全面依法治国相关工作和行政立法、执法监督、行政复议等方面的支出。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十六、公共安全支出(类)司法(款)事业运行(项)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十七、公共安全支出(类)强制隔离戒毒(款)行政运行(项)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十八、公共安全支出(类)强制隔离戒毒(款)强制隔离戒毒人员生活(项)</w:t>
      </w:r>
      <w:r>
        <w:rPr>
          <w:rFonts w:ascii="仿宋" w:hAnsi="仿宋" w:eastAsia="仿宋" w:cs="仿宋"/>
          <w:b/>
          <w:u w:color="auto"/>
        </w:rPr>
        <w:t>：</w:t>
      </w:r>
      <w:r>
        <w:rPr>
          <w:rFonts w:hint="eastAsia" w:ascii="仿宋" w:hAnsi="仿宋" w:eastAsia="仿宋" w:cs="仿宋"/>
        </w:rPr>
        <w:t>反映强制隔离戒毒管理部门及强制隔离戒毒所用于强制隔离戒毒人员生活的各项开支，包括伙食费、被服费、水电费、日用品补助费、医疗康复费、杂支费等。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十九、公共安全支出(类)强制隔离戒毒(款)强制隔离戒毒人员教育(项)</w:t>
      </w:r>
      <w:r>
        <w:rPr>
          <w:rFonts w:ascii="仿宋" w:hAnsi="仿宋" w:eastAsia="仿宋" w:cs="仿宋"/>
          <w:b/>
          <w:u w:color="auto"/>
        </w:rPr>
        <w:t>：</w:t>
      </w:r>
      <w:r>
        <w:rPr>
          <w:rFonts w:hint="eastAsia" w:ascii="仿宋" w:hAnsi="仿宋" w:eastAsia="仿宋" w:cs="仿宋"/>
        </w:rPr>
        <w:t>反映强制隔离戒毒管理部门及强制隔离戒毒所用于强制隔离戒毒人员教育的各项开支，包括教育矫治费、心理治疗费、习艺费、社会帮教费、回访调查费、传染病查治费、诊断评估费等。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二十、公共安全支出(类)强制隔离戒毒(款)所政设施建设(项)</w:t>
      </w:r>
      <w:r>
        <w:rPr>
          <w:rFonts w:ascii="仿宋" w:hAnsi="仿宋" w:eastAsia="仿宋" w:cs="仿宋"/>
          <w:b/>
          <w:u w:color="auto"/>
        </w:rPr>
        <w:t>：</w:t>
      </w:r>
      <w:r>
        <w:rPr>
          <w:rFonts w:hint="eastAsia" w:ascii="仿宋" w:hAnsi="仿宋" w:eastAsia="仿宋" w:cs="仿宋"/>
        </w:rPr>
        <w:t>反映强制隔离戒毒管理部门及强制隔离戒毒所所政设施建设及维修、技术装备购置等方面的支出。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二十一、公共安全支出(类)强制隔离戒毒(款)信息化建设(项)</w:t>
      </w:r>
      <w:r>
        <w:rPr>
          <w:rFonts w:ascii="仿宋" w:hAnsi="仿宋" w:eastAsia="仿宋" w:cs="仿宋"/>
          <w:b/>
          <w:u w:color="auto"/>
        </w:rPr>
        <w:t>：</w:t>
      </w:r>
      <w:r>
        <w:rPr>
          <w:rFonts w:hint="eastAsia" w:ascii="仿宋" w:hAnsi="仿宋" w:eastAsia="仿宋" w:cs="仿宋"/>
        </w:rPr>
        <w:t>反映信息化建设及运行维护等方面的支出。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二十二、公共安全支出(类)强制隔离戒毒(款)其他强制隔离戒毒支出(项)</w:t>
      </w:r>
      <w:r>
        <w:rPr>
          <w:rFonts w:ascii="仿宋" w:hAnsi="仿宋" w:eastAsia="仿宋" w:cs="仿宋"/>
          <w:b/>
          <w:u w:color="auto"/>
        </w:rPr>
        <w:t>：</w:t>
      </w:r>
      <w:r>
        <w:rPr>
          <w:rFonts w:hint="eastAsia" w:ascii="仿宋" w:hAnsi="仿宋" w:eastAsia="仿宋" w:cs="仿宋"/>
        </w:rPr>
        <w:t>反映强制隔离戒毒管理部门及强制隔离戒毒所发生的强制隔离戒毒人员调遣费、突发事件处置费、安全保卫费、警察服装费、宣传及奖励费、技术辅导人员及关键要害岗位人员补助费等支出。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南京市司法局</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24190"/>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1</TotalTime>
  <ScaleCrop>false</ScaleCrop>
  <LinksUpToDate>false</LinksUpToDate>
  <CharactersWithSpaces>6554</CharactersWithSpaces>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涂寅(tuyin)</cp:lastModifiedBy>
  <dcterms:modified xsi:type="dcterms:W3CDTF">2026-03-11T05:33:55Z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2052-11.1.0.9339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