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B7B10">
      <w:pPr>
        <w:widowControl/>
        <w:jc w:val="center"/>
        <w:rPr>
          <w:rFonts w:ascii="Times New Roman" w:hAnsi="Times New Roman" w:eastAsia="仿宋" w:cs="Times New Roman"/>
          <w:b/>
          <w:bCs/>
          <w:color w:val="0D0D0D"/>
          <w:kern w:val="0"/>
          <w:sz w:val="36"/>
          <w:szCs w:val="36"/>
        </w:rPr>
      </w:pPr>
    </w:p>
    <w:p w14:paraId="378D9C5C">
      <w:pPr>
        <w:widowControl/>
        <w:jc w:val="center"/>
        <w:rPr>
          <w:rFonts w:ascii="Times New Roman" w:hAnsi="Times New Roman" w:eastAsia="仿宋" w:cs="Times New Roman"/>
          <w:b/>
          <w:bCs/>
          <w:color w:val="0D0D0D"/>
          <w:kern w:val="0"/>
          <w:sz w:val="36"/>
          <w:szCs w:val="36"/>
        </w:rPr>
      </w:pPr>
    </w:p>
    <w:p w14:paraId="1A325FF0">
      <w:pPr>
        <w:widowControl/>
        <w:ind w:left="2456" w:leftChars="405" w:hanging="1606" w:hangingChars="500"/>
        <w:jc w:val="center"/>
        <w:rPr>
          <w:rFonts w:ascii="方正小标宋简体" w:hAnsi="Times New Roman" w:eastAsia="方正小标宋简体" w:cs="Times New Roman"/>
          <w:b/>
          <w:bCs/>
          <w:color w:val="000000"/>
          <w:kern w:val="0"/>
          <w:sz w:val="32"/>
          <w:szCs w:val="32"/>
        </w:rPr>
      </w:pPr>
      <w:r>
        <w:rPr>
          <w:rFonts w:ascii="方正小标宋简体" w:hAnsi="Times New Roman" w:eastAsia="方正小标宋简体" w:cs="方正小标宋简体"/>
          <w:b/>
          <w:bCs/>
          <w:color w:val="0D0D0D"/>
          <w:kern w:val="0"/>
          <w:sz w:val="32"/>
          <w:szCs w:val="32"/>
        </w:rPr>
        <w:t>2025</w:t>
      </w:r>
      <w:r>
        <w:rPr>
          <w:rFonts w:hint="eastAsia" w:ascii="方正小标宋简体" w:hAnsi="Times New Roman" w:eastAsia="方正小标宋简体" w:cs="方正小标宋简体"/>
          <w:b/>
          <w:bCs/>
          <w:color w:val="0D0D0D"/>
          <w:kern w:val="0"/>
          <w:sz w:val="32"/>
          <w:szCs w:val="32"/>
        </w:rPr>
        <w:t>年南京市</w:t>
      </w:r>
      <w:r>
        <w:rPr>
          <w:rFonts w:hint="eastAsia" w:ascii="方正小标宋简体" w:hAnsi="Times New Roman" w:eastAsia="方正小标宋简体" w:cs="方正小标宋简体"/>
          <w:b/>
          <w:bCs/>
          <w:color w:val="000000"/>
          <w:kern w:val="0"/>
          <w:sz w:val="32"/>
          <w:szCs w:val="32"/>
        </w:rPr>
        <w:t>城市警备防务与基层政法</w:t>
      </w:r>
    </w:p>
    <w:p w14:paraId="2FBF2F46">
      <w:pPr>
        <w:widowControl/>
        <w:ind w:left="2456" w:leftChars="405" w:hanging="1606" w:hangingChars="500"/>
        <w:jc w:val="center"/>
        <w:rPr>
          <w:rFonts w:ascii="方正小标宋简体" w:hAnsi="Times New Roman" w:eastAsia="方正小标宋简体" w:cs="Times New Roman"/>
          <w:b/>
          <w:bCs/>
          <w:color w:val="000000"/>
          <w:kern w:val="0"/>
          <w:sz w:val="32"/>
          <w:szCs w:val="32"/>
        </w:rPr>
      </w:pPr>
      <w:r>
        <w:rPr>
          <w:rFonts w:hint="eastAsia" w:ascii="方正小标宋简体" w:hAnsi="Times New Roman" w:eastAsia="方正小标宋简体" w:cs="方正小标宋简体"/>
          <w:b/>
          <w:bCs/>
          <w:color w:val="000000"/>
          <w:kern w:val="0"/>
          <w:sz w:val="32"/>
          <w:szCs w:val="32"/>
        </w:rPr>
        <w:t>补助</w:t>
      </w:r>
      <w:r>
        <w:rPr>
          <w:rFonts w:ascii="方正小标宋简体" w:hAnsi="Times New Roman" w:eastAsia="方正小标宋简体" w:cs="方正小标宋简体"/>
          <w:b/>
          <w:bCs/>
          <w:color w:val="000000"/>
          <w:kern w:val="0"/>
          <w:sz w:val="32"/>
          <w:szCs w:val="32"/>
        </w:rPr>
        <w:t>-</w:t>
      </w:r>
      <w:r>
        <w:rPr>
          <w:rFonts w:hint="eastAsia" w:ascii="方正小标宋简体" w:hAnsi="Times New Roman" w:eastAsia="方正小标宋简体" w:cs="方正小标宋简体"/>
          <w:b/>
          <w:bCs/>
          <w:color w:val="000000"/>
          <w:kern w:val="0"/>
          <w:sz w:val="32"/>
          <w:szCs w:val="32"/>
        </w:rPr>
        <w:t>社区矫正和人民调解补助资金</w:t>
      </w:r>
      <w:r>
        <w:rPr>
          <w:rFonts w:hint="eastAsia" w:ascii="方正小标宋简体" w:hAnsi="Times New Roman" w:eastAsia="方正小标宋简体" w:cs="方正小标宋简体"/>
          <w:b/>
          <w:bCs/>
          <w:color w:val="0D0D0D"/>
          <w:kern w:val="0"/>
          <w:sz w:val="32"/>
          <w:szCs w:val="32"/>
        </w:rPr>
        <w:t>绩效评价报告</w:t>
      </w:r>
    </w:p>
    <w:p w14:paraId="79C31684">
      <w:pPr>
        <w:widowControl/>
        <w:ind w:firstLine="560" w:firstLineChars="200"/>
        <w:jc w:val="center"/>
        <w:rPr>
          <w:rFonts w:ascii="Times New Roman" w:hAnsi="Times New Roman" w:eastAsia="仿宋" w:cs="Times New Roman"/>
          <w:color w:val="000000"/>
          <w:kern w:val="0"/>
          <w:sz w:val="28"/>
          <w:szCs w:val="28"/>
        </w:rPr>
      </w:pPr>
    </w:p>
    <w:p w14:paraId="59FFA181">
      <w:pPr>
        <w:overflowPunct w:val="0"/>
        <w:autoSpaceDE w:val="0"/>
        <w:autoSpaceDN w:val="0"/>
        <w:adjustRightInd w:val="0"/>
        <w:ind w:firstLine="640" w:firstLineChars="200"/>
        <w:textAlignment w:val="baseline"/>
        <w:rPr>
          <w:rFonts w:ascii="Times New Roman" w:hAnsi="Times New Roman" w:eastAsia="仿宋" w:cs="Times New Roman"/>
          <w:color w:val="000000"/>
          <w:kern w:val="0"/>
          <w:sz w:val="32"/>
          <w:szCs w:val="32"/>
        </w:rPr>
      </w:pPr>
    </w:p>
    <w:p w14:paraId="619C96AE">
      <w:pPr>
        <w:overflowPunct w:val="0"/>
        <w:autoSpaceDE w:val="0"/>
        <w:autoSpaceDN w:val="0"/>
        <w:adjustRightInd w:val="0"/>
        <w:ind w:firstLine="640" w:firstLineChars="200"/>
        <w:textAlignment w:val="baseline"/>
        <w:rPr>
          <w:rFonts w:ascii="Times New Roman" w:hAnsi="Times New Roman" w:eastAsia="仿宋" w:cs="Times New Roman"/>
          <w:color w:val="000000"/>
          <w:kern w:val="0"/>
          <w:sz w:val="32"/>
          <w:szCs w:val="32"/>
        </w:rPr>
      </w:pPr>
    </w:p>
    <w:p w14:paraId="2C6D7F7E">
      <w:pPr>
        <w:overflowPunct w:val="0"/>
        <w:autoSpaceDE w:val="0"/>
        <w:autoSpaceDN w:val="0"/>
        <w:adjustRightInd w:val="0"/>
        <w:ind w:firstLine="640" w:firstLineChars="200"/>
        <w:textAlignment w:val="baseline"/>
        <w:rPr>
          <w:rFonts w:ascii="Times New Roman" w:hAnsi="Times New Roman" w:eastAsia="仿宋" w:cs="Times New Roman"/>
          <w:color w:val="000000"/>
          <w:kern w:val="0"/>
          <w:sz w:val="32"/>
          <w:szCs w:val="32"/>
        </w:rPr>
      </w:pPr>
    </w:p>
    <w:p w14:paraId="3B53F675">
      <w:pPr>
        <w:overflowPunct w:val="0"/>
        <w:autoSpaceDE w:val="0"/>
        <w:autoSpaceDN w:val="0"/>
        <w:adjustRightInd w:val="0"/>
        <w:ind w:firstLine="640" w:firstLineChars="200"/>
        <w:textAlignment w:val="baseline"/>
        <w:rPr>
          <w:rFonts w:ascii="Times New Roman" w:hAnsi="Times New Roman" w:eastAsia="仿宋" w:cs="Times New Roman"/>
          <w:color w:val="000000"/>
          <w:kern w:val="0"/>
          <w:sz w:val="32"/>
          <w:szCs w:val="32"/>
        </w:rPr>
      </w:pPr>
    </w:p>
    <w:p w14:paraId="5BFCA9A1">
      <w:pPr>
        <w:overflowPunct w:val="0"/>
        <w:autoSpaceDE w:val="0"/>
        <w:autoSpaceDN w:val="0"/>
        <w:adjustRightInd w:val="0"/>
        <w:ind w:firstLine="640" w:firstLineChars="200"/>
        <w:textAlignment w:val="baseline"/>
        <w:rPr>
          <w:rFonts w:ascii="Times New Roman" w:hAnsi="Times New Roman" w:eastAsia="仿宋" w:cs="Times New Roman"/>
          <w:color w:val="000000"/>
          <w:kern w:val="0"/>
          <w:sz w:val="32"/>
          <w:szCs w:val="32"/>
        </w:rPr>
      </w:pPr>
    </w:p>
    <w:p w14:paraId="5B1EDCAC">
      <w:pPr>
        <w:overflowPunct w:val="0"/>
        <w:autoSpaceDE w:val="0"/>
        <w:autoSpaceDN w:val="0"/>
        <w:adjustRightInd w:val="0"/>
        <w:ind w:firstLine="640" w:firstLineChars="200"/>
        <w:textAlignment w:val="baseline"/>
        <w:rPr>
          <w:rFonts w:ascii="Times New Roman" w:hAnsi="Times New Roman" w:eastAsia="仿宋" w:cs="Times New Roman"/>
          <w:color w:val="000000"/>
          <w:kern w:val="0"/>
          <w:sz w:val="32"/>
          <w:szCs w:val="32"/>
        </w:rPr>
      </w:pPr>
    </w:p>
    <w:p w14:paraId="5B4D9F46">
      <w:pPr>
        <w:overflowPunct w:val="0"/>
        <w:autoSpaceDE w:val="0"/>
        <w:autoSpaceDN w:val="0"/>
        <w:adjustRightInd w:val="0"/>
        <w:ind w:firstLine="640" w:firstLineChars="200"/>
        <w:textAlignment w:val="baseline"/>
        <w:rPr>
          <w:rFonts w:ascii="Times New Roman" w:hAnsi="Times New Roman" w:eastAsia="仿宋" w:cs="Times New Roman"/>
          <w:color w:val="000000"/>
          <w:kern w:val="0"/>
          <w:sz w:val="32"/>
          <w:szCs w:val="32"/>
        </w:rPr>
      </w:pPr>
    </w:p>
    <w:p w14:paraId="424868B1">
      <w:pPr>
        <w:widowControl/>
        <w:ind w:left="2558" w:leftChars="456" w:hanging="1600" w:hangingChars="500"/>
        <w:jc w:val="left"/>
        <w:rPr>
          <w:rFonts w:ascii="Times New Roman" w:hAnsi="Times New Roman" w:eastAsia="仿宋" w:cs="Times New Roman"/>
          <w:color w:val="000000"/>
          <w:kern w:val="0"/>
          <w:sz w:val="32"/>
          <w:szCs w:val="32"/>
        </w:rPr>
      </w:pPr>
    </w:p>
    <w:p w14:paraId="0487533D">
      <w:pPr>
        <w:widowControl/>
        <w:ind w:left="2833" w:leftChars="435" w:hanging="1920" w:hangingChars="600"/>
        <w:jc w:val="left"/>
        <w:rPr>
          <w:rFonts w:ascii="Times New Roman" w:hAnsi="Times New Roman" w:eastAsia="仿宋" w:cs="Times New Roman"/>
          <w:color w:val="000000"/>
          <w:kern w:val="0"/>
          <w:sz w:val="32"/>
          <w:szCs w:val="32"/>
        </w:rPr>
      </w:pPr>
    </w:p>
    <w:p w14:paraId="465D9BAC">
      <w:pPr>
        <w:ind w:firstLine="560" w:firstLineChars="200"/>
        <w:rPr>
          <w:rFonts w:ascii="Times New Roman" w:hAnsi="Times New Roman" w:eastAsia="仿宋" w:cs="Times New Roman"/>
          <w:sz w:val="28"/>
          <w:szCs w:val="28"/>
        </w:rPr>
      </w:pPr>
    </w:p>
    <w:p w14:paraId="7F4DB48D">
      <w:pPr>
        <w:ind w:firstLine="560" w:firstLineChars="200"/>
        <w:rPr>
          <w:rFonts w:ascii="Times New Roman" w:hAnsi="Times New Roman" w:eastAsia="仿宋" w:cs="Times New Roman"/>
          <w:sz w:val="28"/>
          <w:szCs w:val="28"/>
        </w:rPr>
      </w:pPr>
    </w:p>
    <w:p w14:paraId="3155642F">
      <w:pPr>
        <w:ind w:firstLine="560" w:firstLineChars="200"/>
        <w:rPr>
          <w:rFonts w:ascii="Times New Roman" w:hAnsi="Times New Roman" w:eastAsia="仿宋" w:cs="Times New Roman"/>
          <w:sz w:val="28"/>
          <w:szCs w:val="28"/>
        </w:rPr>
      </w:pPr>
    </w:p>
    <w:p w14:paraId="538B8E8A">
      <w:pPr>
        <w:ind w:firstLine="560" w:firstLineChars="200"/>
        <w:rPr>
          <w:rFonts w:ascii="Times New Roman" w:hAnsi="Times New Roman" w:eastAsia="仿宋" w:cs="Times New Roman"/>
          <w:sz w:val="28"/>
          <w:szCs w:val="28"/>
        </w:rPr>
      </w:pPr>
    </w:p>
    <w:p w14:paraId="59E572C4">
      <w:pPr>
        <w:jc w:val="center"/>
        <w:rPr>
          <w:rFonts w:ascii="方正小标宋简体" w:hAnsi="Times New Roman" w:eastAsia="方正小标宋简体" w:cs="Times New Roman"/>
          <w:b/>
          <w:bCs/>
          <w:sz w:val="32"/>
          <w:szCs w:val="32"/>
        </w:rPr>
      </w:pPr>
      <w:r>
        <w:rPr>
          <w:rFonts w:ascii="方正小标宋简体" w:hAnsi="Times New Roman" w:eastAsia="方正小标宋简体" w:cs="方正小标宋简体"/>
          <w:b/>
          <w:bCs/>
          <w:sz w:val="32"/>
          <w:szCs w:val="32"/>
        </w:rPr>
        <w:t>2026</w:t>
      </w:r>
      <w:r>
        <w:rPr>
          <w:rFonts w:hint="eastAsia" w:ascii="方正小标宋简体" w:hAnsi="Times New Roman" w:eastAsia="方正小标宋简体" w:cs="方正小标宋简体"/>
          <w:b/>
          <w:bCs/>
          <w:sz w:val="32"/>
          <w:szCs w:val="32"/>
        </w:rPr>
        <w:t>年</w:t>
      </w:r>
      <w:r>
        <w:rPr>
          <w:rFonts w:ascii="方正小标宋简体" w:hAnsi="Times New Roman" w:eastAsia="方正小标宋简体" w:cs="方正小标宋简体"/>
          <w:b/>
          <w:bCs/>
          <w:sz w:val="32"/>
          <w:szCs w:val="32"/>
        </w:rPr>
        <w:t>7</w:t>
      </w:r>
      <w:r>
        <w:rPr>
          <w:rFonts w:hint="eastAsia" w:ascii="方正小标宋简体" w:hAnsi="Times New Roman" w:eastAsia="方正小标宋简体" w:cs="方正小标宋简体"/>
          <w:b/>
          <w:bCs/>
          <w:sz w:val="32"/>
          <w:szCs w:val="32"/>
        </w:rPr>
        <w:t>月</w:t>
      </w:r>
    </w:p>
    <w:p w14:paraId="1431351C">
      <w:pPr>
        <w:spacing w:beforeLines="50" w:afterLines="50"/>
        <w:rPr>
          <w:rFonts w:cs="Times New Roman"/>
        </w:rPr>
        <w:sectPr>
          <w:footerReference r:id="rId3" w:type="default"/>
          <w:pgSz w:w="11906" w:h="16838"/>
          <w:pgMar w:top="1440" w:right="1800" w:bottom="1440" w:left="1800" w:header="851" w:footer="992" w:gutter="0"/>
          <w:pgNumType w:start="1"/>
          <w:cols w:space="425" w:num="1"/>
          <w:titlePg/>
          <w:docGrid w:type="lines" w:linePitch="312" w:charSpace="0"/>
        </w:sectPr>
      </w:pPr>
    </w:p>
    <w:p w14:paraId="3A5CEA8D">
      <w:pPr>
        <w:pStyle w:val="32"/>
        <w:spacing w:line="400" w:lineRule="exact"/>
        <w:jc w:val="center"/>
        <w:rPr>
          <w:rFonts w:ascii="方正小标宋简体" w:hAnsi="仿宋" w:eastAsia="方正小标宋简体" w:cs="Times New Roman"/>
          <w:b/>
          <w:bCs/>
          <w:color w:val="auto"/>
          <w:sz w:val="44"/>
          <w:szCs w:val="44"/>
        </w:rPr>
      </w:pPr>
      <w:r>
        <w:rPr>
          <w:rFonts w:hint="eastAsia" w:ascii="方正小标宋简体" w:hAnsi="仿宋" w:eastAsia="方正小标宋简体" w:cs="方正小标宋简体"/>
          <w:b/>
          <w:bCs/>
          <w:color w:val="auto"/>
          <w:sz w:val="44"/>
          <w:szCs w:val="44"/>
          <w:lang w:val="zh-CN"/>
        </w:rPr>
        <w:t>目录</w:t>
      </w:r>
    </w:p>
    <w:p w14:paraId="47D62439">
      <w:pPr>
        <w:pStyle w:val="12"/>
        <w:tabs>
          <w:tab w:val="right" w:leader="dot" w:pos="8306"/>
        </w:tabs>
        <w:spacing w:line="480" w:lineRule="exact"/>
        <w:rPr>
          <w:rFonts w:ascii="楷体_GB2312" w:hAnsi="Times New Roman" w:eastAsia="楷体_GB2312" w:cs="Times New Roman"/>
          <w:sz w:val="28"/>
          <w:szCs w:val="28"/>
        </w:rPr>
      </w:pPr>
      <w:r>
        <w:rPr>
          <w:rFonts w:ascii="楷体_GB2312" w:hAnsi="仿宋" w:eastAsia="楷体_GB2312" w:cs="楷体_GB2312"/>
          <w:sz w:val="28"/>
          <w:szCs w:val="28"/>
        </w:rPr>
        <w:fldChar w:fldCharType="begin"/>
      </w:r>
      <w:r>
        <w:rPr>
          <w:rFonts w:ascii="楷体_GB2312" w:hAnsi="仿宋" w:eastAsia="楷体_GB2312" w:cs="楷体_GB2312"/>
          <w:sz w:val="28"/>
          <w:szCs w:val="28"/>
        </w:rPr>
        <w:instrText xml:space="preserve"> TOC \o "1-3" \h \z \u </w:instrText>
      </w:r>
      <w:r>
        <w:rPr>
          <w:rFonts w:ascii="楷体_GB2312" w:hAnsi="仿宋" w:eastAsia="楷体_GB2312" w:cs="楷体_GB2312"/>
          <w:sz w:val="28"/>
          <w:szCs w:val="28"/>
        </w:rPr>
        <w:fldChar w:fldCharType="separate"/>
      </w:r>
      <w:r>
        <w:fldChar w:fldCharType="begin"/>
      </w:r>
      <w:r>
        <w:instrText xml:space="preserve"> HYPERLINK \l "_Toc16959" </w:instrText>
      </w:r>
      <w:r>
        <w:fldChar w:fldCharType="separate"/>
      </w:r>
      <w:r>
        <w:rPr>
          <w:rFonts w:hint="eastAsia" w:ascii="楷体_GB2312" w:hAnsi="Times New Roman" w:eastAsia="楷体_GB2312" w:cs="楷体_GB2312"/>
          <w:sz w:val="28"/>
          <w:szCs w:val="28"/>
        </w:rPr>
        <w:t>一、</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政策概况</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_Toc16959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473D8D86">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"_Toc23653" </w:instrText>
      </w:r>
      <w:r>
        <w:fldChar w:fldCharType="separate"/>
      </w:r>
      <w:r>
        <w:rPr>
          <w:rFonts w:hint="eastAsia" w:ascii="楷体_GB2312" w:hAnsi="Times New Roman" w:eastAsia="楷体_GB2312" w:cs="楷体_GB2312"/>
          <w:sz w:val="28"/>
          <w:szCs w:val="28"/>
        </w:rPr>
        <w:t>（一）</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政策基本情况</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_Toc23653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2798F203">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"_Toc2899" </w:instrText>
      </w:r>
      <w:r>
        <w:fldChar w:fldCharType="separate"/>
      </w:r>
      <w:r>
        <w:rPr>
          <w:rFonts w:hint="eastAsia" w:ascii="楷体_GB2312" w:hAnsi="Times New Roman" w:eastAsia="楷体_GB2312" w:cs="楷体_GB2312"/>
          <w:sz w:val="28"/>
          <w:szCs w:val="28"/>
        </w:rPr>
        <w:t>（二）</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政策资金情况</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_Toc2899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4</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66B5395F">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"_Toc17690" </w:instrText>
      </w:r>
      <w:r>
        <w:fldChar w:fldCharType="separate"/>
      </w:r>
      <w:r>
        <w:rPr>
          <w:rFonts w:hint="eastAsia" w:ascii="楷体_GB2312" w:hAnsi="Times New Roman" w:eastAsia="楷体_GB2312" w:cs="楷体_GB2312"/>
          <w:sz w:val="28"/>
          <w:szCs w:val="28"/>
        </w:rPr>
        <w:t>（三）</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政策组织管理</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_Toc17690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8</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1CA1BB11">
      <w:pPr>
        <w:pStyle w:val="13"/>
        <w:tabs>
          <w:tab w:val="right" w:leader="dot" w:pos="8306"/>
        </w:tabs>
        <w:spacing w:line="480" w:lineRule="exact"/>
        <w:ind w:left="31680"/>
        <w:rPr>
          <w:rFonts w:cs="Times New Roman"/>
        </w:rPr>
      </w:pPr>
      <w:r>
        <w:fldChar w:fldCharType="begin"/>
      </w:r>
      <w:r>
        <w:instrText xml:space="preserve"> HYPERLINK \l "_Toc18435" </w:instrText>
      </w:r>
      <w:r>
        <w:fldChar w:fldCharType="separate"/>
      </w:r>
      <w:r>
        <w:rPr>
          <w:rFonts w:hint="eastAsia" w:ascii="楷体_GB2312" w:hAnsi="Times New Roman" w:eastAsia="楷体_GB2312" w:cs="楷体_GB2312"/>
          <w:sz w:val="28"/>
          <w:szCs w:val="28"/>
        </w:rPr>
        <w:t>（四）</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政策绩效目标</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_Toc18435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9</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0C004442">
      <w:pPr>
        <w:pStyle w:val="12"/>
        <w:tabs>
          <w:tab w:val="right" w:leader="dot" w:pos="8306"/>
        </w:tabs>
        <w:spacing w:line="480" w:lineRule="exact"/>
        <w:rPr>
          <w:rFonts w:ascii="楷体_GB2312" w:hAnsi="Times New Roman" w:eastAsia="楷体_GB2312" w:cs="Times New Roman"/>
          <w:sz w:val="28"/>
          <w:szCs w:val="28"/>
        </w:rPr>
      </w:pPr>
      <w:r>
        <w:fldChar w:fldCharType="begin"/>
      </w:r>
      <w:r>
        <w:instrText xml:space="preserve"> HYPERLINK \l "_Toc25275" </w:instrText>
      </w:r>
      <w:r>
        <w:fldChar w:fldCharType="separate"/>
      </w:r>
      <w:r>
        <w:rPr>
          <w:rFonts w:hint="eastAsia" w:ascii="楷体_GB2312" w:hAnsi="Times New Roman" w:eastAsia="楷体_GB2312" w:cs="楷体_GB2312"/>
          <w:sz w:val="28"/>
          <w:szCs w:val="28"/>
        </w:rPr>
        <w:t>二、</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绩效评价结论</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_Toc25275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10</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5374DE01">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"_Toc19372" </w:instrText>
      </w:r>
      <w:r>
        <w:fldChar w:fldCharType="separate"/>
      </w:r>
      <w:r>
        <w:rPr>
          <w:rFonts w:hint="eastAsia" w:ascii="楷体_GB2312" w:hAnsi="Times New Roman" w:eastAsia="楷体_GB2312" w:cs="楷体_GB2312"/>
          <w:sz w:val="28"/>
          <w:szCs w:val="28"/>
        </w:rPr>
        <w:t>（一）评价对象和范围</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_Toc19372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10</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6CD03933">
      <w:pPr>
        <w:pStyle w:val="13"/>
        <w:tabs>
          <w:tab w:val="right" w:leader="dot" w:pos="8306"/>
        </w:tabs>
        <w:spacing w:line="480" w:lineRule="exact"/>
        <w:ind w:left="31680"/>
        <w:rPr>
          <w:rFonts w:cs="Times New Roman"/>
        </w:rPr>
      </w:pPr>
      <w:r>
        <w:fldChar w:fldCharType="begin"/>
      </w:r>
      <w:r>
        <w:instrText xml:space="preserve"> HYPERLINK \l "_Toc15164" </w:instrText>
      </w:r>
      <w:r>
        <w:fldChar w:fldCharType="separate"/>
      </w:r>
      <w:r>
        <w:rPr>
          <w:rFonts w:hint="eastAsia" w:ascii="楷体_GB2312" w:hAnsi="Times New Roman" w:eastAsia="楷体_GB2312" w:cs="楷体_GB2312"/>
          <w:sz w:val="28"/>
          <w:szCs w:val="28"/>
        </w:rPr>
        <w:t>（二）评价结论及评分结果</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_Toc15164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10</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3DB2D17D">
      <w:pPr>
        <w:pStyle w:val="12"/>
        <w:tabs>
          <w:tab w:val="right" w:leader="dot" w:pos="8306"/>
        </w:tabs>
        <w:spacing w:line="480" w:lineRule="exact"/>
        <w:rPr>
          <w:rFonts w:ascii="楷体_GB2312" w:hAnsi="Times New Roman" w:eastAsia="楷体_GB2312" w:cs="Times New Roman"/>
          <w:sz w:val="28"/>
          <w:szCs w:val="28"/>
        </w:rPr>
      </w:pPr>
      <w:r>
        <w:fldChar w:fldCharType="begin"/>
      </w:r>
      <w:r>
        <w:instrText xml:space="preserve"> HYPERLINK \l "_Toc11346" </w:instrText>
      </w:r>
      <w:r>
        <w:fldChar w:fldCharType="separate"/>
      </w:r>
      <w:r>
        <w:rPr>
          <w:rFonts w:hint="eastAsia" w:ascii="楷体_GB2312" w:hAnsi="Times New Roman" w:eastAsia="楷体_GB2312" w:cs="楷体_GB2312"/>
          <w:sz w:val="28"/>
          <w:szCs w:val="28"/>
        </w:rPr>
        <w:t>三、</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政策成效</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_Toc11346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11</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11556854">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"_Toc7403" </w:instrText>
      </w:r>
      <w:r>
        <w:fldChar w:fldCharType="separate"/>
      </w:r>
      <w:r>
        <w:rPr>
          <w:rFonts w:hint="eastAsia" w:ascii="楷体_GB2312" w:hAnsi="Times New Roman" w:eastAsia="楷体_GB2312" w:cs="楷体_GB2312"/>
          <w:sz w:val="28"/>
          <w:szCs w:val="28"/>
        </w:rPr>
        <w:t>（一）严守安全底线，夯实基层稳定根基</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_Toc7403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11</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419D789C">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"_Toc13825" </w:instrText>
      </w:r>
      <w:r>
        <w:fldChar w:fldCharType="separate"/>
      </w:r>
      <w:r>
        <w:rPr>
          <w:rFonts w:hint="eastAsia" w:ascii="楷体_GB2312" w:hAnsi="Times New Roman" w:eastAsia="楷体_GB2312" w:cs="楷体_GB2312"/>
          <w:sz w:val="28"/>
          <w:szCs w:val="28"/>
        </w:rPr>
        <w:t>（二）监管帮扶并重，提升成功率满意度</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_Toc13825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11</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415FCE86">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"_Toc18129" </w:instrText>
      </w:r>
      <w:r>
        <w:fldChar w:fldCharType="separate"/>
      </w:r>
      <w:r>
        <w:rPr>
          <w:rFonts w:hint="eastAsia" w:ascii="楷体_GB2312" w:hAnsi="Times New Roman" w:eastAsia="楷体_GB2312" w:cs="楷体_GB2312"/>
          <w:sz w:val="28"/>
          <w:szCs w:val="28"/>
        </w:rPr>
        <w:t>（三）优化管控模式，创新社矫治理体系</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_Toc18129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12</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16A4261B">
      <w:pPr>
        <w:pStyle w:val="13"/>
        <w:tabs>
          <w:tab w:val="right" w:leader="dot" w:pos="8306"/>
        </w:tabs>
        <w:spacing w:line="480" w:lineRule="exact"/>
        <w:ind w:left="31680"/>
        <w:rPr>
          <w:rFonts w:cs="Times New Roman"/>
        </w:rPr>
      </w:pPr>
      <w:r>
        <w:fldChar w:fldCharType="begin"/>
      </w:r>
      <w:r>
        <w:instrText xml:space="preserve"> HYPERLINK \l "_Toc27164" </w:instrText>
      </w:r>
      <w:r>
        <w:fldChar w:fldCharType="separate"/>
      </w:r>
      <w:r>
        <w:rPr>
          <w:rFonts w:hint="eastAsia" w:ascii="楷体_GB2312" w:hAnsi="Times New Roman" w:eastAsia="楷体_GB2312" w:cs="楷体_GB2312"/>
          <w:sz w:val="28"/>
          <w:szCs w:val="28"/>
        </w:rPr>
        <w:t>（四）强化协同联动，完善多元共治格局</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_Toc27164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12</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67EA0FCC">
      <w:pPr>
        <w:pStyle w:val="12"/>
        <w:tabs>
          <w:tab w:val="right" w:leader="dot" w:pos="8306"/>
        </w:tabs>
        <w:spacing w:line="480" w:lineRule="exact"/>
        <w:rPr>
          <w:rFonts w:ascii="楷体_GB2312" w:hAnsi="Times New Roman" w:eastAsia="楷体_GB2312" w:cs="Times New Roman"/>
          <w:sz w:val="28"/>
          <w:szCs w:val="28"/>
        </w:rPr>
      </w:pPr>
      <w:r>
        <w:fldChar w:fldCharType="begin"/>
      </w:r>
      <w:r>
        <w:instrText xml:space="preserve"> HYPERLINK \l "_Toc313" </w:instrText>
      </w:r>
      <w:r>
        <w:fldChar w:fldCharType="separate"/>
      </w:r>
      <w:r>
        <w:rPr>
          <w:rFonts w:hint="eastAsia" w:ascii="楷体_GB2312" w:hAnsi="Times New Roman" w:eastAsia="楷体_GB2312" w:cs="楷体_GB2312"/>
          <w:sz w:val="28"/>
          <w:szCs w:val="28"/>
        </w:rPr>
        <w:t>四、</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存在的问题及原因分析</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_Toc313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12</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1EC5209C">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"_Toc29268" </w:instrText>
      </w:r>
      <w:r>
        <w:fldChar w:fldCharType="separate"/>
      </w:r>
      <w:r>
        <w:rPr>
          <w:rFonts w:hint="eastAsia" w:ascii="楷体_GB2312" w:hAnsi="Times New Roman" w:eastAsia="楷体_GB2312" w:cs="楷体_GB2312"/>
          <w:sz w:val="28"/>
          <w:szCs w:val="28"/>
        </w:rPr>
        <w:t>（一）智慧矫正手段需不断加强</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_Toc29268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12</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70998FC5">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"_Toc3935" </w:instrText>
      </w:r>
      <w:r>
        <w:fldChar w:fldCharType="separate"/>
      </w:r>
      <w:r>
        <w:rPr>
          <w:rFonts w:hint="eastAsia" w:ascii="楷体_GB2312" w:hAnsi="Times New Roman" w:eastAsia="楷体_GB2312" w:cs="楷体_GB2312"/>
          <w:sz w:val="28"/>
          <w:szCs w:val="28"/>
        </w:rPr>
        <w:t>（二）执行业务流程需进一步规范</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_Toc3935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13</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32F57544">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"_Toc27672" </w:instrText>
      </w:r>
      <w:r>
        <w:fldChar w:fldCharType="separate"/>
      </w:r>
      <w:r>
        <w:rPr>
          <w:rFonts w:hint="eastAsia" w:ascii="楷体_GB2312" w:hAnsi="Times New Roman" w:eastAsia="楷体_GB2312" w:cs="楷体_GB2312"/>
          <w:sz w:val="28"/>
          <w:szCs w:val="28"/>
        </w:rPr>
        <w:t>（三）专项资金管理需不断完善</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_Toc27672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14</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37C3EEF6">
      <w:pPr>
        <w:pStyle w:val="13"/>
        <w:tabs>
          <w:tab w:val="right" w:leader="dot" w:pos="8306"/>
        </w:tabs>
        <w:spacing w:line="480" w:lineRule="exact"/>
        <w:ind w:left="31680"/>
        <w:rPr>
          <w:rFonts w:cs="Times New Roman"/>
        </w:rPr>
      </w:pPr>
      <w:r>
        <w:fldChar w:fldCharType="begin"/>
      </w:r>
      <w:r>
        <w:instrText xml:space="preserve"> HYPERLINK \l "_Toc27534" </w:instrText>
      </w:r>
      <w:r>
        <w:fldChar w:fldCharType="separate"/>
      </w:r>
      <w:r>
        <w:rPr>
          <w:rFonts w:hint="eastAsia" w:ascii="楷体_GB2312" w:hAnsi="Times New Roman" w:eastAsia="楷体_GB2312" w:cs="楷体_GB2312"/>
          <w:sz w:val="28"/>
          <w:szCs w:val="28"/>
        </w:rPr>
        <w:t>（四）社区矫正社工配置和社工待遇需完善</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_Toc27534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15</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615447BC">
      <w:pPr>
        <w:pStyle w:val="12"/>
        <w:tabs>
          <w:tab w:val="right" w:leader="dot" w:pos="8306"/>
        </w:tabs>
        <w:spacing w:line="480" w:lineRule="exact"/>
        <w:rPr>
          <w:rFonts w:ascii="楷体_GB2312" w:hAnsi="Times New Roman" w:eastAsia="楷体_GB2312" w:cs="Times New Roman"/>
          <w:sz w:val="28"/>
          <w:szCs w:val="28"/>
        </w:rPr>
      </w:pPr>
      <w:r>
        <w:fldChar w:fldCharType="begin"/>
      </w:r>
      <w:r>
        <w:instrText xml:space="preserve"> HYPERLINK \l "_Toc22715" </w:instrText>
      </w:r>
      <w:r>
        <w:fldChar w:fldCharType="separate"/>
      </w:r>
      <w:r>
        <w:rPr>
          <w:rFonts w:hint="eastAsia" w:ascii="楷体_GB2312" w:hAnsi="Times New Roman" w:eastAsia="楷体_GB2312" w:cs="楷体_GB2312"/>
          <w:sz w:val="28"/>
          <w:szCs w:val="28"/>
        </w:rPr>
        <w:t>五、相关建议</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_Toc22715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16</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25448685">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"_Toc2359" </w:instrText>
      </w:r>
      <w:r>
        <w:fldChar w:fldCharType="separate"/>
      </w:r>
      <w:r>
        <w:rPr>
          <w:rFonts w:hint="eastAsia" w:ascii="楷体_GB2312" w:hAnsi="Times New Roman" w:eastAsia="楷体_GB2312" w:cs="楷体_GB2312"/>
          <w:sz w:val="28"/>
          <w:szCs w:val="28"/>
        </w:rPr>
        <w:t>（一）规范资金安排使用，提升资金使用效能</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_Toc2359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16</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0FBD66A7">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"_Toc8107" </w:instrText>
      </w:r>
      <w:r>
        <w:fldChar w:fldCharType="separate"/>
      </w:r>
      <w:r>
        <w:rPr>
          <w:rFonts w:hint="eastAsia" w:ascii="楷体_GB2312" w:hAnsi="Times New Roman" w:eastAsia="楷体_GB2312" w:cs="楷体_GB2312"/>
          <w:sz w:val="28"/>
          <w:szCs w:val="28"/>
        </w:rPr>
        <w:t>（二）统一智慧平台采购，提升智慧矫正水平</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_Toc8107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17</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1F0C9142">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"_Toc29899" </w:instrText>
      </w:r>
      <w:r>
        <w:fldChar w:fldCharType="separate"/>
      </w:r>
      <w:r>
        <w:rPr>
          <w:rFonts w:hint="eastAsia" w:ascii="楷体_GB2312" w:hAnsi="Times New Roman" w:eastAsia="楷体_GB2312" w:cs="楷体_GB2312"/>
          <w:sz w:val="28"/>
          <w:szCs w:val="28"/>
        </w:rPr>
        <w:t>（三）严格规范业务流程，健全案件闭环管理</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_Toc29899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17</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776C6114">
      <w:pPr>
        <w:pStyle w:val="13"/>
        <w:tabs>
          <w:tab w:val="right" w:leader="dot" w:pos="8306"/>
        </w:tabs>
        <w:spacing w:line="480" w:lineRule="exact"/>
        <w:ind w:left="31680"/>
        <w:rPr>
          <w:rFonts w:cs="Times New Roman"/>
        </w:rPr>
      </w:pPr>
      <w:r>
        <w:fldChar w:fldCharType="begin"/>
      </w:r>
      <w:r>
        <w:instrText xml:space="preserve"> HYPERLINK \l "_Toc15204" </w:instrText>
      </w:r>
      <w:r>
        <w:fldChar w:fldCharType="separate"/>
      </w:r>
      <w:r>
        <w:rPr>
          <w:rFonts w:hint="eastAsia" w:ascii="楷体_GB2312" w:hAnsi="Times New Roman" w:eastAsia="楷体_GB2312" w:cs="楷体_GB2312"/>
          <w:sz w:val="28"/>
          <w:szCs w:val="28"/>
        </w:rPr>
        <w:t>（四）优化完善待遇机制，强化队伍保障建设</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_Toc15204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18</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74A5EB6E">
      <w:pPr>
        <w:pStyle w:val="12"/>
        <w:tabs>
          <w:tab w:val="right" w:leader="dot" w:pos="8306"/>
        </w:tabs>
        <w:spacing w:line="480" w:lineRule="exact"/>
        <w:rPr>
          <w:rFonts w:ascii="楷体_GB2312" w:hAnsi="Times New Roman" w:eastAsia="楷体_GB2312" w:cs="Times New Roman"/>
          <w:sz w:val="28"/>
          <w:szCs w:val="28"/>
        </w:rPr>
      </w:pPr>
      <w:r>
        <w:fldChar w:fldCharType="begin"/>
      </w:r>
      <w:r>
        <w:instrText xml:space="preserve"> HYPERLINK \l "_Toc10079" </w:instrText>
      </w:r>
      <w:r>
        <w:fldChar w:fldCharType="separate"/>
      </w:r>
      <w:r>
        <w:rPr>
          <w:rFonts w:hint="eastAsia" w:ascii="楷体_GB2312" w:hAnsi="Times New Roman" w:eastAsia="楷体_GB2312" w:cs="楷体_GB2312"/>
          <w:sz w:val="28"/>
          <w:szCs w:val="28"/>
        </w:rPr>
        <w:t>六、</w:t>
      </w:r>
      <w:r>
        <w:rPr>
          <w:rFonts w:ascii="楷体_GB2312" w:hAnsi="Times New Roman" w:eastAsia="楷体_GB2312" w:cs="楷体_GB2312"/>
          <w:sz w:val="28"/>
          <w:szCs w:val="28"/>
        </w:rPr>
        <w:t xml:space="preserve"> </w:t>
      </w:r>
      <w:r>
        <w:rPr>
          <w:rFonts w:hint="eastAsia" w:ascii="楷体_GB2312" w:hAnsi="Times New Roman" w:eastAsia="楷体_GB2312" w:cs="楷体_GB2312"/>
          <w:sz w:val="28"/>
          <w:szCs w:val="28"/>
        </w:rPr>
        <w:t>评价工作开展情况及其他需说明的情况</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_Toc10079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18</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6A103C62">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"_Toc12043" </w:instrText>
      </w:r>
      <w:r>
        <w:fldChar w:fldCharType="separate"/>
      </w:r>
      <w:r>
        <w:rPr>
          <w:rFonts w:hint="eastAsia" w:ascii="楷体_GB2312" w:hAnsi="Times New Roman" w:eastAsia="楷体_GB2312" w:cs="楷体_GB2312"/>
          <w:sz w:val="28"/>
          <w:szCs w:val="28"/>
        </w:rPr>
        <w:t>（一）政策评价思路及方法</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_Toc12043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18</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0254F643">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"_Toc21597" </w:instrText>
      </w:r>
      <w:r>
        <w:fldChar w:fldCharType="separate"/>
      </w:r>
      <w:r>
        <w:rPr>
          <w:rFonts w:hint="eastAsia" w:ascii="楷体_GB2312" w:hAnsi="Times New Roman" w:eastAsia="楷体_GB2312" w:cs="楷体_GB2312"/>
          <w:sz w:val="28"/>
          <w:szCs w:val="28"/>
        </w:rPr>
        <w:t>（二）绩效评价指标体系</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_Toc21597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21</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58F33EF4">
      <w:pPr>
        <w:pStyle w:val="13"/>
        <w:tabs>
          <w:tab w:val="right" w:leader="dot" w:pos="8306"/>
        </w:tabs>
        <w:spacing w:line="480" w:lineRule="exact"/>
        <w:ind w:left="31680"/>
        <w:rPr>
          <w:rFonts w:ascii="楷体_GB2312" w:hAnsi="Times New Roman" w:eastAsia="楷体_GB2312" w:cs="Times New Roman"/>
          <w:sz w:val="28"/>
          <w:szCs w:val="28"/>
        </w:rPr>
      </w:pPr>
      <w:r>
        <w:fldChar w:fldCharType="begin"/>
      </w:r>
      <w:r>
        <w:instrText xml:space="preserve"> HYPERLINK \l "_Toc4566" </w:instrText>
      </w:r>
      <w:r>
        <w:fldChar w:fldCharType="separate"/>
      </w:r>
      <w:r>
        <w:rPr>
          <w:rFonts w:hint="eastAsia" w:ascii="楷体_GB2312" w:hAnsi="Times New Roman" w:eastAsia="楷体_GB2312" w:cs="楷体_GB2312"/>
          <w:sz w:val="28"/>
          <w:szCs w:val="28"/>
        </w:rPr>
        <w:t>（三）评价组织实施</w:t>
      </w:r>
      <w:r>
        <w:rPr>
          <w:rFonts w:ascii="楷体_GB2312" w:hAnsi="Times New Roman" w:eastAsia="楷体_GB2312" w:cs="Times New Roman"/>
          <w:sz w:val="28"/>
          <w:szCs w:val="28"/>
        </w:rPr>
        <w:tab/>
      </w:r>
      <w:r>
        <w:rPr>
          <w:rFonts w:ascii="楷体_GB2312" w:hAnsi="Times New Roman" w:eastAsia="楷体_GB2312" w:cs="楷体_GB2312"/>
          <w:sz w:val="28"/>
          <w:szCs w:val="28"/>
        </w:rPr>
        <w:fldChar w:fldCharType="begin"/>
      </w:r>
      <w:r>
        <w:rPr>
          <w:rFonts w:ascii="楷体_GB2312" w:hAnsi="Times New Roman" w:eastAsia="楷体_GB2312" w:cs="楷体_GB2312"/>
          <w:sz w:val="28"/>
          <w:szCs w:val="28"/>
        </w:rPr>
        <w:instrText xml:space="preserve"> PAGEREF _Toc4566 \h </w:instrText>
      </w:r>
      <w:r>
        <w:rPr>
          <w:rFonts w:ascii="楷体_GB2312" w:hAnsi="Times New Roman" w:eastAsia="楷体_GB2312" w:cs="楷体_GB2312"/>
          <w:sz w:val="28"/>
          <w:szCs w:val="28"/>
        </w:rPr>
        <w:fldChar w:fldCharType="separate"/>
      </w:r>
      <w:r>
        <w:rPr>
          <w:rFonts w:ascii="楷体_GB2312" w:hAnsi="Times New Roman" w:eastAsia="楷体_GB2312" w:cs="楷体_GB2312"/>
          <w:sz w:val="28"/>
          <w:szCs w:val="28"/>
        </w:rPr>
        <w:t>22</w:t>
      </w:r>
      <w:r>
        <w:rPr>
          <w:rFonts w:ascii="楷体_GB2312" w:hAnsi="Times New Roman" w:eastAsia="楷体_GB2312" w:cs="楷体_GB2312"/>
          <w:sz w:val="28"/>
          <w:szCs w:val="28"/>
        </w:rPr>
        <w:fldChar w:fldCharType="end"/>
      </w:r>
      <w:r>
        <w:rPr>
          <w:rFonts w:ascii="楷体_GB2312" w:hAnsi="Times New Roman" w:eastAsia="楷体_GB2312" w:cs="楷体_GB2312"/>
          <w:sz w:val="28"/>
          <w:szCs w:val="28"/>
        </w:rPr>
        <w:fldChar w:fldCharType="end"/>
      </w:r>
    </w:p>
    <w:p w14:paraId="1D766A28">
      <w:pPr>
        <w:spacing w:line="480" w:lineRule="exact"/>
        <w:rPr>
          <w:rFonts w:ascii="楷体_GB2312" w:hAnsi="仿宋" w:eastAsia="楷体_GB2312" w:cs="Times New Roman"/>
          <w:sz w:val="28"/>
          <w:szCs w:val="28"/>
        </w:rPr>
      </w:pPr>
      <w:r>
        <w:rPr>
          <w:rFonts w:ascii="楷体_GB2312" w:hAnsi="仿宋" w:eastAsia="楷体_GB2312" w:cs="楷体_GB2312"/>
          <w:sz w:val="28"/>
          <w:szCs w:val="28"/>
        </w:rPr>
        <w:fldChar w:fldCharType="end"/>
      </w:r>
    </w:p>
    <w:p w14:paraId="7D9D68D2">
      <w:pPr>
        <w:spacing w:beforeLines="50" w:afterLines="50" w:line="480" w:lineRule="exact"/>
        <w:rPr>
          <w:rFonts w:ascii="楷体_GB2312" w:hAnsi="仿宋" w:eastAsia="楷体_GB2312" w:cs="Times New Roman"/>
          <w:sz w:val="28"/>
          <w:szCs w:val="28"/>
        </w:rPr>
        <w:sectPr>
          <w:pgSz w:w="11906" w:h="16838"/>
          <w:pgMar w:top="1440" w:right="1800" w:bottom="1440" w:left="1800" w:header="851" w:footer="992" w:gutter="0"/>
          <w:pgNumType w:start="1"/>
          <w:cols w:space="425" w:num="1"/>
          <w:docGrid w:type="lines" w:linePitch="312" w:charSpace="0"/>
        </w:sectPr>
      </w:pPr>
    </w:p>
    <w:p w14:paraId="554453AC">
      <w:pPr>
        <w:ind w:firstLine="723" w:firstLineChars="200"/>
        <w:jc w:val="center"/>
        <w:rPr>
          <w:rFonts w:ascii="方正小标宋简体" w:hAnsi="Times New Roman" w:eastAsia="方正小标宋简体" w:cs="Times New Roman"/>
          <w:b/>
          <w:bCs/>
          <w:color w:val="000000"/>
          <w:kern w:val="0"/>
          <w:sz w:val="36"/>
          <w:szCs w:val="36"/>
        </w:rPr>
      </w:pPr>
      <w:bookmarkStart w:id="0" w:name="_Toc71279124"/>
      <w:bookmarkStart w:id="1" w:name="_Toc165214288"/>
      <w:r>
        <w:rPr>
          <w:rFonts w:hint="eastAsia" w:ascii="方正小标宋简体" w:hAnsi="Times New Roman" w:eastAsia="方正小标宋简体" w:cs="方正小标宋简体"/>
          <w:b/>
          <w:bCs/>
          <w:color w:val="000000"/>
          <w:kern w:val="0"/>
          <w:sz w:val="36"/>
          <w:szCs w:val="36"/>
        </w:rPr>
        <w:t>城市警备防务与基层政法补助</w:t>
      </w:r>
      <w:r>
        <w:rPr>
          <w:rFonts w:ascii="方正小标宋简体" w:hAnsi="Times New Roman" w:eastAsia="方正小标宋简体" w:cs="方正小标宋简体"/>
          <w:b/>
          <w:bCs/>
          <w:color w:val="000000"/>
          <w:kern w:val="0"/>
          <w:sz w:val="36"/>
          <w:szCs w:val="36"/>
        </w:rPr>
        <w:t>-</w:t>
      </w:r>
      <w:r>
        <w:rPr>
          <w:rFonts w:hint="eastAsia" w:ascii="方正小标宋简体" w:hAnsi="Times New Roman" w:eastAsia="方正小标宋简体" w:cs="方正小标宋简体"/>
          <w:b/>
          <w:bCs/>
          <w:color w:val="000000"/>
          <w:kern w:val="0"/>
          <w:sz w:val="36"/>
          <w:szCs w:val="36"/>
        </w:rPr>
        <w:t>社区矫正</w:t>
      </w:r>
    </w:p>
    <w:p w14:paraId="214C8021">
      <w:pPr>
        <w:ind w:firstLine="723" w:firstLineChars="200"/>
        <w:jc w:val="center"/>
        <w:rPr>
          <w:rFonts w:ascii="方正小标宋简体" w:hAnsi="Times New Roman" w:eastAsia="方正小标宋简体" w:cs="Times New Roman"/>
          <w:b/>
          <w:bCs/>
          <w:color w:val="000000"/>
          <w:kern w:val="0"/>
          <w:sz w:val="36"/>
          <w:szCs w:val="36"/>
        </w:rPr>
      </w:pPr>
      <w:r>
        <w:rPr>
          <w:rFonts w:hint="eastAsia" w:ascii="方正小标宋简体" w:hAnsi="Times New Roman" w:eastAsia="方正小标宋简体" w:cs="方正小标宋简体"/>
          <w:b/>
          <w:bCs/>
          <w:color w:val="000000"/>
          <w:kern w:val="0"/>
          <w:sz w:val="36"/>
          <w:szCs w:val="36"/>
        </w:rPr>
        <w:t>和人民调解补助资金绩效评价报告</w:t>
      </w:r>
    </w:p>
    <w:p w14:paraId="7022E260">
      <w:pPr>
        <w:ind w:firstLine="562" w:firstLineChars="200"/>
        <w:jc w:val="center"/>
        <w:rPr>
          <w:rFonts w:ascii="Times New Roman" w:hAnsi="Times New Roman" w:eastAsia="仿宋" w:cs="Times New Roman"/>
          <w:b/>
          <w:bCs/>
          <w:sz w:val="28"/>
          <w:szCs w:val="28"/>
        </w:rPr>
      </w:pPr>
    </w:p>
    <w:p w14:paraId="6CF15F85">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为进一步提升财政预算科学化、精细化水平，提高财政资金安排的科学性和合理性，规范专项资金的使用管理，充分发挥财政资金作用，提高财政资金使用效率和效益，根据关于印发</w:t>
      </w:r>
      <w:r>
        <w:rPr>
          <w:rFonts w:ascii="仿宋_GB2312" w:hAnsi="Times New Roman" w:eastAsia="仿宋_GB2312" w:cs="仿宋_GB2312"/>
          <w:sz w:val="32"/>
          <w:szCs w:val="32"/>
        </w:rPr>
        <w:t>2026</w:t>
      </w:r>
      <w:r>
        <w:rPr>
          <w:rFonts w:hint="eastAsia" w:ascii="仿宋_GB2312" w:hAnsi="Times New Roman" w:eastAsia="仿宋_GB2312" w:cs="仿宋_GB2312"/>
          <w:sz w:val="32"/>
          <w:szCs w:val="32"/>
        </w:rPr>
        <w:t>年市财政局预算绩效管理工作计划的通知》（宁财绩〔</w:t>
      </w:r>
      <w:r>
        <w:rPr>
          <w:rFonts w:ascii="仿宋_GB2312" w:hAnsi="Times New Roman" w:eastAsia="仿宋_GB2312" w:cs="仿宋_GB2312"/>
          <w:sz w:val="32"/>
          <w:szCs w:val="32"/>
        </w:rPr>
        <w:t>2026</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43</w:t>
      </w:r>
      <w:r>
        <w:rPr>
          <w:rFonts w:hint="eastAsia" w:ascii="仿宋_GB2312" w:hAnsi="Times New Roman" w:eastAsia="仿宋_GB2312" w:cs="仿宋_GB2312"/>
          <w:sz w:val="32"/>
          <w:szCs w:val="32"/>
        </w:rPr>
        <w:t>号）要求，对南京市司法局</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年南京市城市警备防务与基层政法补助</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社区矫正和人民调解补助资金进行绩效评价，现将绩效评价情况报告如下：</w:t>
      </w:r>
    </w:p>
    <w:p w14:paraId="683D753D">
      <w:pPr>
        <w:pStyle w:val="27"/>
        <w:numPr>
          <w:ilvl w:val="0"/>
          <w:numId w:val="1"/>
        </w:numPr>
        <w:spacing w:line="560" w:lineRule="exact"/>
        <w:ind w:firstLineChars="0"/>
        <w:outlineLvl w:val="0"/>
        <w:rPr>
          <w:rFonts w:ascii="仿宋_GB2312" w:hAnsi="Times New Roman" w:eastAsia="仿宋_GB2312" w:cs="Times New Roman"/>
          <w:b/>
          <w:bCs/>
          <w:sz w:val="32"/>
          <w:szCs w:val="32"/>
        </w:rPr>
      </w:pPr>
      <w:bookmarkStart w:id="2" w:name="_Toc16959"/>
      <w:r>
        <w:rPr>
          <w:rFonts w:hint="eastAsia" w:ascii="仿宋_GB2312" w:hAnsi="Times New Roman" w:eastAsia="仿宋_GB2312" w:cs="仿宋_GB2312"/>
          <w:b/>
          <w:bCs/>
          <w:sz w:val="32"/>
          <w:szCs w:val="32"/>
        </w:rPr>
        <w:t>政策概况</w:t>
      </w:r>
      <w:bookmarkEnd w:id="2"/>
    </w:p>
    <w:p w14:paraId="648AFDCE">
      <w:pPr>
        <w:numPr>
          <w:ilvl w:val="0"/>
          <w:numId w:val="2"/>
        </w:numPr>
        <w:spacing w:line="560" w:lineRule="exact"/>
        <w:ind w:left="560"/>
        <w:outlineLvl w:val="1"/>
        <w:rPr>
          <w:rFonts w:ascii="仿宋_GB2312" w:hAnsi="Times New Roman" w:eastAsia="仿宋_GB2312" w:cs="Times New Roman"/>
          <w:b/>
          <w:bCs/>
          <w:sz w:val="32"/>
          <w:szCs w:val="32"/>
        </w:rPr>
      </w:pPr>
      <w:bookmarkStart w:id="3" w:name="_Toc23653"/>
      <w:r>
        <w:rPr>
          <w:rFonts w:hint="eastAsia" w:ascii="仿宋_GB2312" w:hAnsi="Times New Roman" w:eastAsia="仿宋_GB2312" w:cs="仿宋_GB2312"/>
          <w:b/>
          <w:bCs/>
          <w:sz w:val="32"/>
          <w:szCs w:val="32"/>
        </w:rPr>
        <w:t>政策基本情况</w:t>
      </w:r>
      <w:bookmarkEnd w:id="3"/>
    </w:p>
    <w:p w14:paraId="3BBCBA12">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政策背景</w:t>
      </w:r>
    </w:p>
    <w:p w14:paraId="004D2B39">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社区矫正与人民调解作为基层社会治理的重要抓手，是维护社会和谐稳定、创新社会治理模式、有效预防违法犯罪的关键举措，其法治化、规范化建设始终贯穿国家及地方治理实践。</w:t>
      </w:r>
    </w:p>
    <w:p w14:paraId="64CF0108">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社区矫正是指将判处管制、宣告缓刑、假释和暂予监外执行的罪犯放在社区，由司法行政机关（司法所）主导，社区组织和志愿者协助，在法定期限内对其进行监督管理和教育帮扶，使其改过自新、回归社会的非监禁刑罚执行方式。</w:t>
      </w:r>
      <w:r>
        <w:rPr>
          <w:rFonts w:ascii="仿宋_GB2312" w:hAnsi="Times New Roman" w:eastAsia="仿宋_GB2312" w:cs="仿宋_GB2312"/>
          <w:sz w:val="32"/>
          <w:szCs w:val="32"/>
        </w:rPr>
        <w:t>2019</w:t>
      </w:r>
      <w:r>
        <w:rPr>
          <w:rFonts w:hint="eastAsia" w:ascii="仿宋_GB2312" w:hAnsi="Times New Roman" w:eastAsia="仿宋_GB2312" w:cs="仿宋_GB2312"/>
          <w:sz w:val="32"/>
          <w:szCs w:val="32"/>
        </w:rPr>
        <w:t>年《中华人民共和国社区矫正法》正式施行，首次将社区矫正运行规范上升至法律层面，同时规定各级人民政府应当将社区矫正经费列入本级政府预算；</w:t>
      </w:r>
      <w:r>
        <w:rPr>
          <w:rFonts w:ascii="仿宋_GB2312" w:hAnsi="Times New Roman" w:eastAsia="仿宋_GB2312" w:cs="仿宋_GB2312"/>
          <w:sz w:val="32"/>
          <w:szCs w:val="32"/>
        </w:rPr>
        <w:t>2022</w:t>
      </w:r>
      <w:r>
        <w:rPr>
          <w:rFonts w:hint="eastAsia" w:ascii="仿宋_GB2312" w:hAnsi="Times New Roman" w:eastAsia="仿宋_GB2312" w:cs="仿宋_GB2312"/>
          <w:sz w:val="32"/>
          <w:szCs w:val="32"/>
        </w:rPr>
        <w:t>年，江苏省司法厅联合省高级人民法院、省人民检察院、省公安厅共同印发《江苏省社区矫正工作实施细则》（苏司通〔</w:t>
      </w:r>
      <w:r>
        <w:rPr>
          <w:rFonts w:ascii="仿宋_GB2312" w:hAnsi="Times New Roman" w:eastAsia="仿宋_GB2312" w:cs="仿宋_GB2312"/>
          <w:sz w:val="32"/>
          <w:szCs w:val="32"/>
        </w:rPr>
        <w:t>2022</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23</w:t>
      </w:r>
      <w:r>
        <w:rPr>
          <w:rFonts w:hint="eastAsia" w:ascii="仿宋_GB2312" w:hAnsi="Times New Roman" w:eastAsia="仿宋_GB2312" w:cs="仿宋_GB2312"/>
          <w:sz w:val="32"/>
          <w:szCs w:val="32"/>
        </w:rPr>
        <w:t>号），对调查评估、交付接收、监督监管等社区矫正全流程予以细化规范，为工作开展提供具体遵循。</w:t>
      </w:r>
    </w:p>
    <w:p w14:paraId="17A8C575">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）人民调解是指人民调解委员会通过说服、疏导等方法，促使当事人在平等协商基础上自愿达成调解协议，解决民间纠纷的活动。</w:t>
      </w:r>
      <w:r>
        <w:rPr>
          <w:rFonts w:ascii="仿宋_GB2312" w:hAnsi="Times New Roman" w:eastAsia="仿宋_GB2312" w:cs="仿宋_GB2312"/>
          <w:sz w:val="32"/>
          <w:szCs w:val="32"/>
        </w:rPr>
        <w:t>2010</w:t>
      </w:r>
      <w:r>
        <w:rPr>
          <w:rFonts w:hint="eastAsia" w:ascii="仿宋_GB2312" w:hAnsi="Times New Roman" w:eastAsia="仿宋_GB2312" w:cs="仿宋_GB2312"/>
          <w:sz w:val="32"/>
          <w:szCs w:val="32"/>
        </w:rPr>
        <w:t>年《中华人民共和国人民调解法》正式发布，确立了人民调解制度的法律地位，规定县级以上人民政府对人民调解工作经费给予必要的支持和保障，对有突出贡献的人民调解委员会和人民调解员按国家规定给予表彰奖励。</w:t>
      </w:r>
      <w:r>
        <w:rPr>
          <w:rFonts w:ascii="仿宋_GB2312" w:hAnsi="Times New Roman" w:eastAsia="仿宋_GB2312" w:cs="仿宋_GB2312"/>
          <w:sz w:val="32"/>
          <w:szCs w:val="32"/>
        </w:rPr>
        <w:t>2015</w:t>
      </w:r>
      <w:r>
        <w:rPr>
          <w:rFonts w:hint="eastAsia" w:ascii="仿宋_GB2312" w:hAnsi="Times New Roman" w:eastAsia="仿宋_GB2312" w:cs="仿宋_GB2312"/>
          <w:sz w:val="32"/>
          <w:szCs w:val="32"/>
        </w:rPr>
        <w:t>年江苏省出台《江苏省人民调解条例》，进一步细化全省人民调解工作流程。近年来，《南京市医患纠纷专职人民调解员绩效考核管理办法》（宁司通〔</w:t>
      </w:r>
      <w:r>
        <w:rPr>
          <w:rFonts w:ascii="仿宋_GB2312" w:hAnsi="Times New Roman" w:eastAsia="仿宋_GB2312" w:cs="仿宋_GB2312"/>
          <w:sz w:val="32"/>
          <w:szCs w:val="32"/>
        </w:rPr>
        <w:t>2023</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32</w:t>
      </w:r>
      <w:r>
        <w:rPr>
          <w:rFonts w:hint="eastAsia" w:ascii="仿宋_GB2312" w:hAnsi="Times New Roman" w:eastAsia="仿宋_GB2312" w:cs="仿宋_GB2312"/>
          <w:sz w:val="32"/>
          <w:szCs w:val="32"/>
        </w:rPr>
        <w:t>号）、《南京市公调对接专职人民调解员考核办法》（宁司通〔</w:t>
      </w:r>
      <w:r>
        <w:rPr>
          <w:rFonts w:ascii="仿宋_GB2312" w:hAnsi="Times New Roman" w:eastAsia="仿宋_GB2312" w:cs="仿宋_GB2312"/>
          <w:sz w:val="32"/>
          <w:szCs w:val="32"/>
        </w:rPr>
        <w:t>2024</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9</w:t>
      </w:r>
      <w:r>
        <w:rPr>
          <w:rFonts w:hint="eastAsia" w:ascii="仿宋_GB2312" w:hAnsi="Times New Roman" w:eastAsia="仿宋_GB2312" w:cs="仿宋_GB2312"/>
          <w:sz w:val="32"/>
          <w:szCs w:val="32"/>
        </w:rPr>
        <w:t>号）、《关于完善全市公调对接工作机制的实施意见》（宁司〔</w:t>
      </w:r>
      <w:r>
        <w:rPr>
          <w:rFonts w:ascii="仿宋_GB2312" w:hAnsi="Times New Roman" w:eastAsia="仿宋_GB2312" w:cs="仿宋_GB2312"/>
          <w:sz w:val="32"/>
          <w:szCs w:val="32"/>
        </w:rPr>
        <w:t>2024</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12</w:t>
      </w:r>
      <w:r>
        <w:rPr>
          <w:rFonts w:hint="eastAsia" w:ascii="仿宋_GB2312" w:hAnsi="Times New Roman" w:eastAsia="仿宋_GB2312" w:cs="仿宋_GB2312"/>
          <w:sz w:val="32"/>
          <w:szCs w:val="32"/>
        </w:rPr>
        <w:t>号）等文件相继出台，对进一步提高我市人民调解工作水平，保障人民调解工作高质量发展起到积极作用。需要说明的是，本次绩效评价所涉及的人民调解仅包括公调对接和医患纠纷调解。</w:t>
      </w:r>
    </w:p>
    <w:p w14:paraId="60985B32">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为落实国家法律规定，南京市每年安排资金，用于保障和支持社区矫正和人民调解工作。</w:t>
      </w:r>
      <w:r>
        <w:rPr>
          <w:rFonts w:ascii="仿宋_GB2312" w:hAnsi="Times New Roman" w:eastAsia="仿宋_GB2312" w:cs="仿宋_GB2312"/>
          <w:sz w:val="32"/>
          <w:szCs w:val="32"/>
        </w:rPr>
        <w:t>2015</w:t>
      </w:r>
      <w:r>
        <w:rPr>
          <w:rFonts w:hint="eastAsia" w:ascii="仿宋_GB2312" w:hAnsi="Times New Roman" w:eastAsia="仿宋_GB2312" w:cs="仿宋_GB2312"/>
          <w:sz w:val="32"/>
          <w:szCs w:val="32"/>
        </w:rPr>
        <w:t>年南京市出台《关于进一步加强公调对接工作的实施意见》（宁政办发〔</w:t>
      </w:r>
      <w:r>
        <w:rPr>
          <w:rFonts w:ascii="仿宋_GB2312" w:hAnsi="Times New Roman" w:eastAsia="仿宋_GB2312" w:cs="仿宋_GB2312"/>
          <w:sz w:val="32"/>
          <w:szCs w:val="32"/>
        </w:rPr>
        <w:t>2015</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88</w:t>
      </w:r>
      <w:r>
        <w:rPr>
          <w:rFonts w:hint="eastAsia" w:ascii="仿宋_GB2312" w:hAnsi="Times New Roman" w:eastAsia="仿宋_GB2312" w:cs="仿宋_GB2312"/>
          <w:sz w:val="32"/>
          <w:szCs w:val="32"/>
        </w:rPr>
        <w:t>号），从对接方式、工作机制、场所建设、保障措施等四方面完善全市公调对接体系，并要求将公调对接日常工作经费和对专职调解员的奖补经费列入财政预算；</w:t>
      </w:r>
      <w:r>
        <w:rPr>
          <w:rFonts w:ascii="仿宋_GB2312" w:hAnsi="Times New Roman" w:eastAsia="仿宋_GB2312" w:cs="仿宋_GB2312"/>
          <w:sz w:val="32"/>
          <w:szCs w:val="32"/>
        </w:rPr>
        <w:t>2020</w:t>
      </w:r>
      <w:r>
        <w:rPr>
          <w:rFonts w:hint="eastAsia" w:ascii="仿宋_GB2312" w:hAnsi="Times New Roman" w:eastAsia="仿宋_GB2312" w:cs="仿宋_GB2312"/>
          <w:sz w:val="32"/>
          <w:szCs w:val="32"/>
        </w:rPr>
        <w:t>年南京市医患纠纷调处服务中心印发《南京市医患纠纷调处服务工作暂行规定》（宁医调〔</w:t>
      </w:r>
      <w:r>
        <w:rPr>
          <w:rFonts w:ascii="仿宋_GB2312" w:hAnsi="Times New Roman" w:eastAsia="仿宋_GB2312" w:cs="仿宋_GB2312"/>
          <w:sz w:val="32"/>
          <w:szCs w:val="32"/>
        </w:rPr>
        <w:t>2020</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01</w:t>
      </w:r>
      <w:r>
        <w:rPr>
          <w:rFonts w:hint="eastAsia" w:ascii="仿宋_GB2312" w:hAnsi="Times New Roman" w:eastAsia="仿宋_GB2312" w:cs="仿宋_GB2312"/>
          <w:sz w:val="32"/>
          <w:szCs w:val="32"/>
        </w:rPr>
        <w:t>号），对医患纠纷调处的接待、受理、分配、调解、会商等全流程予以规范，形成特色化行业调解工作标准；</w:t>
      </w:r>
      <w:r>
        <w:rPr>
          <w:rFonts w:ascii="仿宋_GB2312" w:hAnsi="Times New Roman" w:eastAsia="仿宋_GB2312" w:cs="仿宋_GB2312"/>
          <w:sz w:val="32"/>
          <w:szCs w:val="32"/>
        </w:rPr>
        <w:t>2022</w:t>
      </w:r>
      <w:r>
        <w:rPr>
          <w:rFonts w:hint="eastAsia" w:ascii="仿宋_GB2312" w:hAnsi="Times New Roman" w:eastAsia="仿宋_GB2312" w:cs="仿宋_GB2312"/>
          <w:sz w:val="32"/>
          <w:szCs w:val="32"/>
        </w:rPr>
        <w:t>年市财政局和市司法局联合制定《南京市市级社区矫正补助专项资金管理办法》（宁财规〔</w:t>
      </w:r>
      <w:r>
        <w:rPr>
          <w:rFonts w:ascii="仿宋_GB2312" w:hAnsi="Times New Roman" w:eastAsia="仿宋_GB2312" w:cs="仿宋_GB2312"/>
          <w:sz w:val="32"/>
          <w:szCs w:val="32"/>
        </w:rPr>
        <w:t>2022</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号），进一步规范社区矫正补助专项资金管理。</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年底，为加强财政科学管理，进一步落实“过紧日子”要求，市财政局在编制</w:t>
      </w:r>
      <w:r>
        <w:rPr>
          <w:rFonts w:ascii="仿宋_GB2312" w:hAnsi="Times New Roman" w:eastAsia="仿宋_GB2312" w:cs="仿宋_GB2312"/>
          <w:sz w:val="32"/>
          <w:szCs w:val="32"/>
        </w:rPr>
        <w:t>2026</w:t>
      </w:r>
      <w:r>
        <w:rPr>
          <w:rFonts w:hint="eastAsia" w:ascii="仿宋_GB2312" w:hAnsi="Times New Roman" w:eastAsia="仿宋_GB2312" w:cs="仿宋_GB2312"/>
          <w:sz w:val="32"/>
          <w:szCs w:val="32"/>
        </w:rPr>
        <w:t>年市级专项资金预算时，将原社区矫正和人民调解（含公调对接和医患纠纷调解）两个专项资金整合归并为一个市级专项，即城市警务与基层政法补助</w:t>
      </w:r>
      <w:r>
        <w:rPr>
          <w:rFonts w:ascii="仿宋_GB2312" w:hAnsi="Times New Roman" w:eastAsia="仿宋_GB2312" w:cs="Times New Roman"/>
          <w:sz w:val="32"/>
          <w:szCs w:val="32"/>
        </w:rPr>
        <w:t>—</w:t>
      </w:r>
      <w:r>
        <w:rPr>
          <w:rFonts w:hint="eastAsia" w:ascii="仿宋_GB2312" w:hAnsi="Times New Roman" w:eastAsia="仿宋_GB2312" w:cs="仿宋_GB2312"/>
          <w:sz w:val="32"/>
          <w:szCs w:val="32"/>
        </w:rPr>
        <w:t>社区矫正和人民调解补助资金。</w:t>
      </w:r>
    </w:p>
    <w:p w14:paraId="60F4531B">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政策内容</w:t>
      </w:r>
    </w:p>
    <w:p w14:paraId="36843F62">
      <w:pPr>
        <w:spacing w:line="560" w:lineRule="exact"/>
        <w:ind w:firstLine="640" w:firstLineChars="200"/>
        <w:rPr>
          <w:rFonts w:ascii="仿宋_GB2312" w:hAnsi="Times New Roman" w:eastAsia="仿宋_GB2312" w:cs="Times New Roman"/>
          <w:sz w:val="32"/>
          <w:szCs w:val="32"/>
        </w:rPr>
      </w:pPr>
      <w:bookmarkStart w:id="4" w:name="OLE_LINK3"/>
      <w:bookmarkStart w:id="5" w:name="OLE_LINK4"/>
      <w:r>
        <w:rPr>
          <w:rFonts w:hint="eastAsia" w:ascii="仿宋_GB2312" w:hAnsi="Times New Roman" w:eastAsia="仿宋_GB2312" w:cs="仿宋_GB2312"/>
          <w:sz w:val="32"/>
          <w:szCs w:val="32"/>
        </w:rPr>
        <w:t>（</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）社区矫正补助资金是指为推动促进全市社区矫正工作高质量发展，由市财政安排用于补助各区开展社区矫正工作的资金。</w:t>
      </w:r>
    </w:p>
    <w:p w14:paraId="6D32E49D">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使用范围：用于调查评估、交付接收、监督管理、教育帮扶、公益劳（活）动、信息系统运行维护、社区矫正社会工作者以及其他符合规定的社区矫正工作支出，其中用于社区矫正社会工作者的费用不得超过市社区矫正补助资金的</w:t>
      </w:r>
      <w:r>
        <w:rPr>
          <w:rFonts w:ascii="仿宋_GB2312" w:hAnsi="Times New Roman" w:eastAsia="仿宋_GB2312" w:cs="仿宋_GB2312"/>
          <w:sz w:val="32"/>
          <w:szCs w:val="32"/>
        </w:rPr>
        <w:t>50%</w:t>
      </w:r>
      <w:r>
        <w:rPr>
          <w:rFonts w:hint="eastAsia" w:ascii="仿宋_GB2312" w:hAnsi="Times New Roman" w:eastAsia="仿宋_GB2312" w:cs="仿宋_GB2312"/>
          <w:sz w:val="32"/>
          <w:szCs w:val="32"/>
        </w:rPr>
        <w:t>。资金不得用于社区矫正机构和司法所执法管理工作人员福利、接待、办公设备购置、外出学习考察等支出。</w:t>
      </w:r>
    </w:p>
    <w:p w14:paraId="346D7FC3">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分配方式：资金采用因素法进行分配，其中社区矫正对象数量占</w:t>
      </w:r>
      <w:r>
        <w:rPr>
          <w:rFonts w:ascii="仿宋_GB2312" w:hAnsi="Times New Roman" w:eastAsia="仿宋_GB2312" w:cs="仿宋_GB2312"/>
          <w:sz w:val="32"/>
          <w:szCs w:val="32"/>
        </w:rPr>
        <w:t>60%</w:t>
      </w:r>
      <w:r>
        <w:rPr>
          <w:rFonts w:hint="eastAsia" w:ascii="仿宋_GB2312" w:hAnsi="Times New Roman" w:eastAsia="仿宋_GB2312" w:cs="仿宋_GB2312"/>
          <w:sz w:val="32"/>
          <w:szCs w:val="32"/>
        </w:rPr>
        <w:t>、绩效考核占</w:t>
      </w:r>
      <w:r>
        <w:rPr>
          <w:rFonts w:ascii="仿宋_GB2312" w:hAnsi="Times New Roman" w:eastAsia="仿宋_GB2312" w:cs="仿宋_GB2312"/>
          <w:sz w:val="32"/>
          <w:szCs w:val="32"/>
        </w:rPr>
        <w:t>20%</w:t>
      </w:r>
      <w:r>
        <w:rPr>
          <w:rFonts w:hint="eastAsia" w:ascii="仿宋_GB2312" w:hAnsi="Times New Roman" w:eastAsia="仿宋_GB2312" w:cs="仿宋_GB2312"/>
          <w:sz w:val="32"/>
          <w:szCs w:val="32"/>
        </w:rPr>
        <w:t>、财政保障能力占</w:t>
      </w:r>
      <w:r>
        <w:rPr>
          <w:rFonts w:ascii="仿宋_GB2312" w:hAnsi="Times New Roman" w:eastAsia="仿宋_GB2312" w:cs="仿宋_GB2312"/>
          <w:sz w:val="32"/>
          <w:szCs w:val="32"/>
        </w:rPr>
        <w:t>10%</w:t>
      </w:r>
      <w:r>
        <w:rPr>
          <w:rFonts w:hint="eastAsia" w:ascii="仿宋_GB2312" w:hAnsi="Times New Roman" w:eastAsia="仿宋_GB2312" w:cs="仿宋_GB2312"/>
          <w:sz w:val="32"/>
          <w:szCs w:val="32"/>
        </w:rPr>
        <w:t>、社区矫正调查评估工作量占</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、各区经费投入占</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w:t>
      </w:r>
    </w:p>
    <w:p w14:paraId="605728F7">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）人民调解补助资金是指由财政安排的用于开展人民调解（公调对接和医患纠纷调解）工作的补助资金。</w:t>
      </w:r>
    </w:p>
    <w:p w14:paraId="06DA430D">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使用范围：用于公调对接和医患纠纷调解调研督导、基层站点建设核查、队伍与卷宗规范化考评、对调解员的考核奖补等。其中调解案件补助标准为：公调对接按矛盾纠纷难易程度，每件补贴</w:t>
      </w:r>
      <w:r>
        <w:rPr>
          <w:rFonts w:ascii="仿宋_GB2312" w:hAnsi="Times New Roman" w:eastAsia="仿宋_GB2312" w:cs="仿宋_GB2312"/>
          <w:sz w:val="32"/>
          <w:szCs w:val="32"/>
        </w:rPr>
        <w:t>20</w:t>
      </w:r>
      <w:r>
        <w:rPr>
          <w:rFonts w:hint="eastAsia" w:ascii="仿宋_GB2312" w:hAnsi="Times New Roman" w:eastAsia="仿宋_GB2312" w:cs="仿宋_GB2312"/>
          <w:sz w:val="32"/>
          <w:szCs w:val="32"/>
        </w:rPr>
        <w:t>元至</w:t>
      </w:r>
      <w:r>
        <w:rPr>
          <w:rFonts w:ascii="仿宋_GB2312" w:hAnsi="Times New Roman" w:eastAsia="仿宋_GB2312" w:cs="仿宋_GB2312"/>
          <w:sz w:val="32"/>
          <w:szCs w:val="32"/>
        </w:rPr>
        <w:t>400</w:t>
      </w:r>
      <w:r>
        <w:rPr>
          <w:rFonts w:hint="eastAsia" w:ascii="仿宋_GB2312" w:hAnsi="Times New Roman" w:eastAsia="仿宋_GB2312" w:cs="仿宋_GB2312"/>
          <w:sz w:val="32"/>
          <w:szCs w:val="32"/>
        </w:rPr>
        <w:t>元不等；医患纠纷调解按医患纠纷难易程度，每件补贴</w:t>
      </w:r>
      <w:r>
        <w:rPr>
          <w:rFonts w:ascii="仿宋_GB2312" w:hAnsi="Times New Roman" w:eastAsia="仿宋_GB2312" w:cs="仿宋_GB2312"/>
          <w:sz w:val="32"/>
          <w:szCs w:val="32"/>
        </w:rPr>
        <w:t>300</w:t>
      </w:r>
      <w:r>
        <w:rPr>
          <w:rFonts w:hint="eastAsia" w:ascii="仿宋_GB2312" w:hAnsi="Times New Roman" w:eastAsia="仿宋_GB2312" w:cs="仿宋_GB2312"/>
          <w:sz w:val="32"/>
          <w:szCs w:val="32"/>
        </w:rPr>
        <w:t>元至</w:t>
      </w:r>
      <w:r>
        <w:rPr>
          <w:rFonts w:ascii="仿宋_GB2312" w:hAnsi="Times New Roman" w:eastAsia="仿宋_GB2312" w:cs="仿宋_GB2312"/>
          <w:sz w:val="32"/>
          <w:szCs w:val="32"/>
        </w:rPr>
        <w:t>800</w:t>
      </w:r>
      <w:r>
        <w:rPr>
          <w:rFonts w:hint="eastAsia" w:ascii="仿宋_GB2312" w:hAnsi="Times New Roman" w:eastAsia="仿宋_GB2312" w:cs="仿宋_GB2312"/>
          <w:sz w:val="32"/>
          <w:szCs w:val="32"/>
        </w:rPr>
        <w:t>元不等。</w:t>
      </w:r>
    </w:p>
    <w:bookmarkEnd w:id="4"/>
    <w:bookmarkEnd w:id="5"/>
    <w:p w14:paraId="2CB4B587">
      <w:pPr>
        <w:numPr>
          <w:ilvl w:val="0"/>
          <w:numId w:val="2"/>
        </w:numPr>
        <w:spacing w:line="560" w:lineRule="exact"/>
        <w:ind w:left="560"/>
        <w:outlineLvl w:val="1"/>
        <w:rPr>
          <w:rFonts w:ascii="仿宋_GB2312" w:hAnsi="Times New Roman" w:eastAsia="仿宋_GB2312" w:cs="Times New Roman"/>
          <w:b/>
          <w:bCs/>
          <w:sz w:val="32"/>
          <w:szCs w:val="32"/>
        </w:rPr>
      </w:pPr>
      <w:bookmarkStart w:id="6" w:name="_Toc2899"/>
      <w:r>
        <w:rPr>
          <w:rFonts w:hint="eastAsia" w:ascii="仿宋_GB2312" w:hAnsi="Times New Roman" w:eastAsia="仿宋_GB2312" w:cs="仿宋_GB2312"/>
          <w:b/>
          <w:bCs/>
          <w:sz w:val="32"/>
          <w:szCs w:val="32"/>
        </w:rPr>
        <w:t>政策资金情况</w:t>
      </w:r>
      <w:bookmarkEnd w:id="6"/>
    </w:p>
    <w:p w14:paraId="141CABD4">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资金来源</w:t>
      </w:r>
    </w:p>
    <w:p w14:paraId="5250A08A">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社区矫正补助资金来源于省、市、区三级财政部门，以区级保障为主，省、市级补助为辅，实行“分级管理、分级负担”。人民调解补助资金主要来源于市、区两级财政部门。</w:t>
      </w:r>
    </w:p>
    <w:p w14:paraId="51BD4CE2">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资金安排</w:t>
      </w:r>
    </w:p>
    <w:p w14:paraId="29E35516">
      <w:pPr>
        <w:spacing w:line="560" w:lineRule="exact"/>
        <w:ind w:firstLine="640" w:firstLineChars="200"/>
        <w:rPr>
          <w:rFonts w:ascii="仿宋_GB2312" w:hAnsi="Times New Roman" w:eastAsia="仿宋_GB2312" w:cs="Times New Roman"/>
          <w:sz w:val="32"/>
          <w:szCs w:val="32"/>
        </w:rPr>
      </w:pP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年度财政共安排资金</w:t>
      </w:r>
      <w:r>
        <w:rPr>
          <w:rFonts w:ascii="仿宋_GB2312" w:hAnsi="Times New Roman" w:eastAsia="仿宋_GB2312" w:cs="仿宋_GB2312"/>
          <w:sz w:val="32"/>
          <w:szCs w:val="32"/>
        </w:rPr>
        <w:t>2,208.68</w:t>
      </w:r>
      <w:r>
        <w:rPr>
          <w:rFonts w:hint="eastAsia" w:ascii="仿宋_GB2312" w:hAnsi="Times New Roman" w:eastAsia="仿宋_GB2312" w:cs="仿宋_GB2312"/>
          <w:sz w:val="32"/>
          <w:szCs w:val="32"/>
        </w:rPr>
        <w:t>万元，其中社区矫正补助资金</w:t>
      </w:r>
      <w:r>
        <w:rPr>
          <w:rFonts w:ascii="仿宋_GB2312" w:hAnsi="Times New Roman" w:eastAsia="仿宋_GB2312" w:cs="仿宋_GB2312"/>
          <w:sz w:val="32"/>
          <w:szCs w:val="32"/>
        </w:rPr>
        <w:t>1,537.33</w:t>
      </w:r>
      <w:r>
        <w:rPr>
          <w:rFonts w:hint="eastAsia" w:ascii="仿宋_GB2312" w:hAnsi="Times New Roman" w:eastAsia="仿宋_GB2312" w:cs="仿宋_GB2312"/>
          <w:sz w:val="32"/>
          <w:szCs w:val="32"/>
        </w:rPr>
        <w:t>万元（省</w:t>
      </w:r>
      <w:bookmarkStart w:id="7" w:name="OLE_LINK2"/>
      <w:r>
        <w:rPr>
          <w:rFonts w:hint="eastAsia" w:ascii="仿宋_GB2312" w:hAnsi="Times New Roman" w:eastAsia="仿宋_GB2312" w:cs="仿宋_GB2312"/>
          <w:sz w:val="32"/>
          <w:szCs w:val="32"/>
        </w:rPr>
        <w:t>级</w:t>
      </w:r>
      <w:r>
        <w:rPr>
          <w:rFonts w:ascii="仿宋_GB2312" w:hAnsi="Times New Roman" w:eastAsia="仿宋_GB2312" w:cs="仿宋_GB2312"/>
          <w:sz w:val="32"/>
          <w:szCs w:val="32"/>
        </w:rPr>
        <w:t>318</w:t>
      </w:r>
      <w:r>
        <w:rPr>
          <w:rFonts w:hint="eastAsia" w:ascii="仿宋_GB2312" w:hAnsi="Times New Roman" w:eastAsia="仿宋_GB2312" w:cs="仿宋_GB2312"/>
          <w:sz w:val="32"/>
          <w:szCs w:val="32"/>
        </w:rPr>
        <w:t>万元</w:t>
      </w:r>
      <w:bookmarkEnd w:id="7"/>
      <w:r>
        <w:rPr>
          <w:rFonts w:hint="eastAsia" w:ascii="仿宋_GB2312" w:hAnsi="Times New Roman" w:eastAsia="仿宋_GB2312" w:cs="仿宋_GB2312"/>
          <w:sz w:val="32"/>
          <w:szCs w:val="32"/>
        </w:rPr>
        <w:t>、市级</w:t>
      </w:r>
      <w:r>
        <w:rPr>
          <w:rFonts w:ascii="仿宋_GB2312" w:hAnsi="Times New Roman" w:eastAsia="仿宋_GB2312" w:cs="仿宋_GB2312"/>
          <w:sz w:val="32"/>
          <w:szCs w:val="32"/>
        </w:rPr>
        <w:t>360</w:t>
      </w:r>
      <w:r>
        <w:rPr>
          <w:rFonts w:hint="eastAsia" w:ascii="仿宋_GB2312" w:hAnsi="Times New Roman" w:eastAsia="仿宋_GB2312" w:cs="仿宋_GB2312"/>
          <w:sz w:val="32"/>
          <w:szCs w:val="32"/>
        </w:rPr>
        <w:t>万元、区级</w:t>
      </w:r>
      <w:r>
        <w:rPr>
          <w:rFonts w:ascii="仿宋_GB2312" w:hAnsi="Times New Roman" w:eastAsia="仿宋_GB2312" w:cs="仿宋_GB2312"/>
          <w:sz w:val="32"/>
          <w:szCs w:val="32"/>
        </w:rPr>
        <w:t>859.33</w:t>
      </w:r>
      <w:r>
        <w:rPr>
          <w:rFonts w:hint="eastAsia" w:ascii="仿宋_GB2312" w:hAnsi="Times New Roman" w:eastAsia="仿宋_GB2312" w:cs="仿宋_GB2312"/>
          <w:sz w:val="32"/>
          <w:szCs w:val="32"/>
        </w:rPr>
        <w:t>万元）、公调对接补助资金</w:t>
      </w:r>
      <w:r>
        <w:rPr>
          <w:rFonts w:ascii="仿宋_GB2312" w:hAnsi="Times New Roman" w:eastAsia="仿宋_GB2312" w:cs="仿宋_GB2312"/>
          <w:sz w:val="32"/>
          <w:szCs w:val="32"/>
        </w:rPr>
        <w:t>661.35</w:t>
      </w:r>
      <w:r>
        <w:rPr>
          <w:rFonts w:hint="eastAsia" w:ascii="仿宋_GB2312" w:hAnsi="Times New Roman" w:eastAsia="仿宋_GB2312" w:cs="仿宋_GB2312"/>
          <w:sz w:val="32"/>
          <w:szCs w:val="32"/>
        </w:rPr>
        <w:t>万元（市级</w:t>
      </w:r>
      <w:r>
        <w:rPr>
          <w:rFonts w:ascii="仿宋_GB2312" w:hAnsi="Times New Roman" w:eastAsia="仿宋_GB2312" w:cs="仿宋_GB2312"/>
          <w:sz w:val="32"/>
          <w:szCs w:val="32"/>
        </w:rPr>
        <w:t>24</w:t>
      </w:r>
      <w:r>
        <w:rPr>
          <w:rFonts w:hint="eastAsia" w:ascii="仿宋_GB2312" w:hAnsi="Times New Roman" w:eastAsia="仿宋_GB2312" w:cs="仿宋_GB2312"/>
          <w:sz w:val="32"/>
          <w:szCs w:val="32"/>
        </w:rPr>
        <w:t>万元、区级资金</w:t>
      </w:r>
      <w:r>
        <w:rPr>
          <w:rFonts w:ascii="仿宋_GB2312" w:hAnsi="Times New Roman" w:eastAsia="仿宋_GB2312" w:cs="仿宋_GB2312"/>
          <w:sz w:val="32"/>
          <w:szCs w:val="32"/>
        </w:rPr>
        <w:t>637.35</w:t>
      </w:r>
      <w:r>
        <w:rPr>
          <w:rFonts w:hint="eastAsia" w:ascii="仿宋_GB2312" w:hAnsi="Times New Roman" w:eastAsia="仿宋_GB2312" w:cs="仿宋_GB2312"/>
          <w:sz w:val="32"/>
          <w:szCs w:val="32"/>
        </w:rPr>
        <w:t>万元）、医患纠纷调解补助资金</w:t>
      </w:r>
      <w:r>
        <w:rPr>
          <w:rFonts w:ascii="仿宋_GB2312" w:hAnsi="Times New Roman" w:eastAsia="仿宋_GB2312" w:cs="仿宋_GB2312"/>
          <w:sz w:val="32"/>
          <w:szCs w:val="32"/>
        </w:rPr>
        <w:t>10</w:t>
      </w:r>
      <w:r>
        <w:rPr>
          <w:rFonts w:hint="eastAsia" w:ascii="仿宋_GB2312" w:hAnsi="Times New Roman" w:eastAsia="仿宋_GB2312" w:cs="仿宋_GB2312"/>
          <w:sz w:val="32"/>
          <w:szCs w:val="32"/>
        </w:rPr>
        <w:t>万元（全部为市级资金）。</w:t>
      </w:r>
    </w:p>
    <w:p w14:paraId="44C426B6">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本次评价范围为市级专项资金</w:t>
      </w:r>
      <w:r>
        <w:rPr>
          <w:rFonts w:ascii="仿宋_GB2312" w:hAnsi="Times New Roman" w:eastAsia="仿宋_GB2312" w:cs="仿宋_GB2312"/>
          <w:sz w:val="32"/>
          <w:szCs w:val="32"/>
        </w:rPr>
        <w:t>394</w:t>
      </w:r>
      <w:r>
        <w:rPr>
          <w:rFonts w:hint="eastAsia" w:ascii="仿宋_GB2312" w:hAnsi="Times New Roman" w:eastAsia="仿宋_GB2312" w:cs="仿宋_GB2312"/>
          <w:sz w:val="32"/>
          <w:szCs w:val="32"/>
        </w:rPr>
        <w:t>万元。其中社区矫正资金</w:t>
      </w:r>
      <w:r>
        <w:rPr>
          <w:rFonts w:ascii="仿宋_GB2312" w:hAnsi="Times New Roman" w:eastAsia="仿宋_GB2312" w:cs="仿宋_GB2312"/>
          <w:sz w:val="32"/>
          <w:szCs w:val="32"/>
        </w:rPr>
        <w:t>360</w:t>
      </w:r>
      <w:r>
        <w:rPr>
          <w:rFonts w:hint="eastAsia" w:ascii="仿宋_GB2312" w:hAnsi="Times New Roman" w:eastAsia="仿宋_GB2312" w:cs="仿宋_GB2312"/>
          <w:sz w:val="32"/>
          <w:szCs w:val="32"/>
        </w:rPr>
        <w:t>万元按因素法分配至各区，公调对接资金</w:t>
      </w:r>
      <w:r>
        <w:rPr>
          <w:rFonts w:ascii="仿宋_GB2312" w:hAnsi="Times New Roman" w:eastAsia="仿宋_GB2312" w:cs="仿宋_GB2312"/>
          <w:sz w:val="32"/>
          <w:szCs w:val="32"/>
        </w:rPr>
        <w:t>24</w:t>
      </w:r>
      <w:r>
        <w:rPr>
          <w:rFonts w:hint="eastAsia" w:ascii="仿宋_GB2312" w:hAnsi="Times New Roman" w:eastAsia="仿宋_GB2312" w:cs="仿宋_GB2312"/>
          <w:sz w:val="32"/>
          <w:szCs w:val="32"/>
        </w:rPr>
        <w:t>万元平均分配至各区，市级医患纠纷调解补助资金</w:t>
      </w:r>
      <w:r>
        <w:rPr>
          <w:rFonts w:ascii="仿宋_GB2312" w:hAnsi="Times New Roman" w:eastAsia="仿宋_GB2312" w:cs="仿宋_GB2312"/>
          <w:sz w:val="32"/>
          <w:szCs w:val="32"/>
        </w:rPr>
        <w:t>10</w:t>
      </w:r>
      <w:r>
        <w:rPr>
          <w:rFonts w:hint="eastAsia" w:ascii="仿宋_GB2312" w:hAnsi="Times New Roman" w:eastAsia="仿宋_GB2312" w:cs="仿宋_GB2312"/>
          <w:sz w:val="32"/>
          <w:szCs w:val="32"/>
        </w:rPr>
        <w:t>万元按</w:t>
      </w:r>
      <w:r>
        <w:rPr>
          <w:rFonts w:ascii="仿宋_GB2312" w:hAnsi="Times New Roman" w:eastAsia="仿宋_GB2312" w:cs="仿宋_GB2312"/>
          <w:sz w:val="32"/>
          <w:szCs w:val="32"/>
        </w:rPr>
        <w:t>6</w:t>
      </w:r>
      <w:r>
        <w:rPr>
          <w:rFonts w:hint="eastAsia" w:ascii="仿宋_GB2312" w:hAnsi="Times New Roman" w:eastAsia="仿宋_GB2312" w:cs="仿宋_GB2312"/>
          <w:sz w:val="32"/>
          <w:szCs w:val="32"/>
        </w:rPr>
        <w:t>个站点上一年度案件数量比例分配。具体情况见下表：</w:t>
      </w:r>
    </w:p>
    <w:p w14:paraId="3D1A32FF">
      <w:pPr>
        <w:spacing w:line="560" w:lineRule="exact"/>
        <w:ind w:firstLine="640" w:firstLineChars="200"/>
        <w:rPr>
          <w:rFonts w:ascii="仿宋_GB2312" w:hAnsi="Times New Roman" w:eastAsia="仿宋_GB2312" w:cs="Times New Roman"/>
          <w:sz w:val="32"/>
          <w:szCs w:val="32"/>
        </w:rPr>
      </w:pPr>
    </w:p>
    <w:p w14:paraId="77EE6538">
      <w:pPr>
        <w:spacing w:line="560" w:lineRule="exact"/>
        <w:ind w:firstLine="640" w:firstLineChars="200"/>
        <w:rPr>
          <w:rFonts w:ascii="仿宋_GB2312" w:hAnsi="Times New Roman" w:eastAsia="仿宋_GB2312" w:cs="Times New Roman"/>
          <w:sz w:val="32"/>
          <w:szCs w:val="32"/>
        </w:rPr>
      </w:pPr>
    </w:p>
    <w:p w14:paraId="1D5DA242">
      <w:pPr>
        <w:spacing w:line="560" w:lineRule="exact"/>
        <w:ind w:firstLine="640" w:firstLineChars="200"/>
        <w:rPr>
          <w:rFonts w:ascii="仿宋_GB2312" w:hAnsi="Times New Roman" w:eastAsia="仿宋_GB2312" w:cs="Times New Roman"/>
          <w:sz w:val="32"/>
          <w:szCs w:val="32"/>
        </w:rPr>
      </w:pPr>
    </w:p>
    <w:p w14:paraId="1791B5BC">
      <w:pPr>
        <w:spacing w:line="560" w:lineRule="exact"/>
        <w:ind w:firstLine="640" w:firstLineChars="200"/>
        <w:rPr>
          <w:rFonts w:ascii="仿宋_GB2312" w:hAnsi="Times New Roman" w:eastAsia="仿宋_GB2312" w:cs="Times New Roman"/>
          <w:sz w:val="32"/>
          <w:szCs w:val="32"/>
        </w:rPr>
      </w:pPr>
    </w:p>
    <w:p w14:paraId="2129F216">
      <w:pPr>
        <w:spacing w:line="560" w:lineRule="exact"/>
        <w:ind w:firstLine="480" w:firstLineChars="200"/>
        <w:jc w:val="center"/>
        <w:rPr>
          <w:rFonts w:ascii="仿宋_GB2312" w:hAnsi="Times New Roman" w:eastAsia="仿宋_GB2312" w:cs="Times New Roman"/>
          <w:sz w:val="24"/>
          <w:szCs w:val="24"/>
        </w:rPr>
      </w:pPr>
      <w:r>
        <w:rPr>
          <w:rFonts w:ascii="仿宋_GB2312" w:hAnsi="Times New Roman" w:eastAsia="仿宋_GB2312" w:cs="仿宋_GB2312"/>
          <w:sz w:val="24"/>
          <w:szCs w:val="24"/>
        </w:rPr>
        <w:t>2025</w:t>
      </w:r>
      <w:r>
        <w:rPr>
          <w:rFonts w:hint="eastAsia" w:ascii="仿宋_GB2312" w:hAnsi="Times New Roman" w:eastAsia="仿宋_GB2312" w:cs="仿宋_GB2312"/>
          <w:sz w:val="24"/>
          <w:szCs w:val="24"/>
        </w:rPr>
        <w:t>年度社区矫正和人民调解补助资金预算安排情况表</w:t>
      </w:r>
    </w:p>
    <w:p w14:paraId="1ACA1AE3">
      <w:pPr>
        <w:ind w:firstLine="420" w:firstLineChars="200"/>
        <w:jc w:val="right"/>
        <w:rPr>
          <w:rFonts w:ascii="仿宋_GB2312" w:hAnsi="Times New Roman" w:eastAsia="仿宋_GB2312" w:cs="Times New Roman"/>
        </w:rPr>
      </w:pPr>
      <w:r>
        <w:rPr>
          <w:rFonts w:hint="eastAsia" w:ascii="仿宋_GB2312" w:hAnsi="Times New Roman" w:eastAsia="仿宋_GB2312" w:cs="仿宋_GB2312"/>
        </w:rPr>
        <w:t>单位：万元</w:t>
      </w:r>
    </w:p>
    <w:tbl>
      <w:tblPr>
        <w:tblStyle w:val="14"/>
        <w:tblW w:w="5000" w:type="pct"/>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709"/>
        <w:gridCol w:w="709"/>
        <w:gridCol w:w="809"/>
        <w:gridCol w:w="909"/>
        <w:gridCol w:w="608"/>
        <w:gridCol w:w="809"/>
        <w:gridCol w:w="809"/>
        <w:gridCol w:w="608"/>
        <w:gridCol w:w="451"/>
        <w:gridCol w:w="642"/>
        <w:gridCol w:w="907"/>
      </w:tblGrid>
      <w:tr w14:paraId="69C3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blHeader/>
        </w:trPr>
        <w:tc>
          <w:tcPr>
            <w:tcW w:w="546" w:type="pct"/>
            <w:vMerge w:val="restart"/>
            <w:vAlign w:val="center"/>
          </w:tcPr>
          <w:p w14:paraId="31A8F877">
            <w:pPr>
              <w:jc w:val="center"/>
              <w:rPr>
                <w:rFonts w:ascii="仿宋" w:hAnsi="仿宋" w:eastAsia="仿宋" w:cs="Times New Roman"/>
                <w:b/>
                <w:bCs/>
                <w:kern w:val="0"/>
                <w:sz w:val="16"/>
                <w:szCs w:val="16"/>
              </w:rPr>
            </w:pPr>
            <w:r>
              <w:rPr>
                <w:rFonts w:hint="eastAsia" w:ascii="仿宋" w:hAnsi="仿宋" w:eastAsia="仿宋" w:cs="仿宋"/>
                <w:b/>
                <w:bCs/>
                <w:kern w:val="0"/>
                <w:sz w:val="16"/>
                <w:szCs w:val="16"/>
              </w:rPr>
              <w:t>各区</w:t>
            </w:r>
          </w:p>
        </w:tc>
        <w:tc>
          <w:tcPr>
            <w:tcW w:w="1752" w:type="pct"/>
            <w:gridSpan w:val="4"/>
            <w:vMerge w:val="restart"/>
            <w:vAlign w:val="center"/>
          </w:tcPr>
          <w:p w14:paraId="781BC116">
            <w:pPr>
              <w:jc w:val="center"/>
              <w:rPr>
                <w:rFonts w:ascii="仿宋" w:hAnsi="仿宋" w:eastAsia="仿宋" w:cs="Times New Roman"/>
                <w:b/>
                <w:bCs/>
                <w:kern w:val="0"/>
                <w:sz w:val="16"/>
                <w:szCs w:val="16"/>
              </w:rPr>
            </w:pPr>
            <w:r>
              <w:rPr>
                <w:rFonts w:hint="eastAsia" w:ascii="仿宋" w:hAnsi="仿宋" w:eastAsia="仿宋" w:cs="仿宋"/>
                <w:b/>
                <w:bCs/>
                <w:kern w:val="0"/>
                <w:sz w:val="16"/>
                <w:szCs w:val="16"/>
              </w:rPr>
              <w:t>社区矫正补助专项资金</w:t>
            </w:r>
          </w:p>
        </w:tc>
        <w:tc>
          <w:tcPr>
            <w:tcW w:w="2195" w:type="pct"/>
            <w:gridSpan w:val="6"/>
            <w:vAlign w:val="center"/>
          </w:tcPr>
          <w:p w14:paraId="5C13106D">
            <w:pPr>
              <w:jc w:val="center"/>
              <w:rPr>
                <w:rFonts w:ascii="仿宋" w:hAnsi="仿宋" w:eastAsia="仿宋" w:cs="Times New Roman"/>
                <w:b/>
                <w:bCs/>
                <w:kern w:val="0"/>
                <w:sz w:val="16"/>
                <w:szCs w:val="16"/>
              </w:rPr>
            </w:pPr>
            <w:r>
              <w:rPr>
                <w:rFonts w:hint="eastAsia" w:ascii="仿宋" w:hAnsi="仿宋" w:eastAsia="仿宋" w:cs="仿宋"/>
                <w:b/>
                <w:bCs/>
                <w:kern w:val="0"/>
                <w:sz w:val="16"/>
                <w:szCs w:val="16"/>
              </w:rPr>
              <w:t>人民调解专项补助资金</w:t>
            </w:r>
          </w:p>
        </w:tc>
        <w:tc>
          <w:tcPr>
            <w:tcW w:w="508" w:type="pct"/>
            <w:vMerge w:val="restart"/>
            <w:noWrap/>
            <w:vAlign w:val="center"/>
          </w:tcPr>
          <w:p w14:paraId="3923D43A">
            <w:pPr>
              <w:jc w:val="center"/>
              <w:rPr>
                <w:rFonts w:ascii="仿宋" w:hAnsi="仿宋" w:eastAsia="仿宋" w:cs="Times New Roman"/>
                <w:b/>
                <w:bCs/>
                <w:kern w:val="0"/>
                <w:sz w:val="16"/>
                <w:szCs w:val="16"/>
              </w:rPr>
            </w:pPr>
            <w:r>
              <w:rPr>
                <w:rFonts w:hint="eastAsia" w:ascii="仿宋" w:hAnsi="仿宋" w:eastAsia="仿宋" w:cs="仿宋"/>
                <w:b/>
                <w:bCs/>
                <w:kern w:val="0"/>
                <w:sz w:val="16"/>
                <w:szCs w:val="16"/>
              </w:rPr>
              <w:t>合计</w:t>
            </w:r>
          </w:p>
        </w:tc>
      </w:tr>
      <w:tr w14:paraId="3BB8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546" w:type="pct"/>
            <w:vMerge w:val="continue"/>
            <w:vAlign w:val="center"/>
          </w:tcPr>
          <w:p w14:paraId="4196034E">
            <w:pPr>
              <w:widowControl/>
              <w:jc w:val="center"/>
              <w:rPr>
                <w:rFonts w:ascii="仿宋" w:hAnsi="仿宋" w:eastAsia="仿宋" w:cs="Times New Roman"/>
                <w:b/>
                <w:bCs/>
                <w:kern w:val="0"/>
                <w:sz w:val="16"/>
                <w:szCs w:val="16"/>
              </w:rPr>
            </w:pPr>
          </w:p>
        </w:tc>
        <w:tc>
          <w:tcPr>
            <w:tcW w:w="1752" w:type="pct"/>
            <w:gridSpan w:val="4"/>
            <w:vMerge w:val="continue"/>
            <w:vAlign w:val="center"/>
          </w:tcPr>
          <w:p w14:paraId="36994532">
            <w:pPr>
              <w:widowControl/>
              <w:jc w:val="center"/>
              <w:rPr>
                <w:rFonts w:ascii="仿宋" w:hAnsi="仿宋" w:eastAsia="仿宋" w:cs="Times New Roman"/>
                <w:b/>
                <w:bCs/>
                <w:kern w:val="0"/>
                <w:sz w:val="16"/>
                <w:szCs w:val="16"/>
              </w:rPr>
            </w:pPr>
          </w:p>
        </w:tc>
        <w:tc>
          <w:tcPr>
            <w:tcW w:w="1243" w:type="pct"/>
            <w:gridSpan w:val="3"/>
            <w:vAlign w:val="center"/>
          </w:tcPr>
          <w:p w14:paraId="29F50083">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公调对接</w:t>
            </w:r>
          </w:p>
        </w:tc>
        <w:tc>
          <w:tcPr>
            <w:tcW w:w="951" w:type="pct"/>
            <w:gridSpan w:val="3"/>
            <w:vAlign w:val="center"/>
          </w:tcPr>
          <w:p w14:paraId="14F49095">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医患纠纷调解</w:t>
            </w:r>
          </w:p>
        </w:tc>
        <w:tc>
          <w:tcPr>
            <w:tcW w:w="508" w:type="pct"/>
            <w:vMerge w:val="continue"/>
            <w:noWrap/>
            <w:vAlign w:val="center"/>
          </w:tcPr>
          <w:p w14:paraId="54718A0D">
            <w:pPr>
              <w:widowControl/>
              <w:jc w:val="center"/>
              <w:rPr>
                <w:rFonts w:ascii="仿宋" w:hAnsi="仿宋" w:eastAsia="仿宋" w:cs="Times New Roman"/>
                <w:kern w:val="0"/>
                <w:sz w:val="16"/>
                <w:szCs w:val="16"/>
              </w:rPr>
            </w:pPr>
          </w:p>
        </w:tc>
      </w:tr>
      <w:tr w14:paraId="618E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blHeader/>
        </w:trPr>
        <w:tc>
          <w:tcPr>
            <w:tcW w:w="546" w:type="pct"/>
            <w:vMerge w:val="continue"/>
            <w:vAlign w:val="center"/>
          </w:tcPr>
          <w:p w14:paraId="330C553D">
            <w:pPr>
              <w:widowControl/>
              <w:jc w:val="center"/>
              <w:rPr>
                <w:rFonts w:ascii="仿宋" w:hAnsi="仿宋" w:eastAsia="仿宋" w:cs="Times New Roman"/>
                <w:b/>
                <w:bCs/>
                <w:kern w:val="0"/>
                <w:sz w:val="16"/>
                <w:szCs w:val="16"/>
              </w:rPr>
            </w:pPr>
          </w:p>
        </w:tc>
        <w:tc>
          <w:tcPr>
            <w:tcW w:w="396" w:type="pct"/>
            <w:vAlign w:val="center"/>
          </w:tcPr>
          <w:p w14:paraId="697198A5">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省</w:t>
            </w:r>
          </w:p>
        </w:tc>
        <w:tc>
          <w:tcPr>
            <w:tcW w:w="396" w:type="pct"/>
            <w:vAlign w:val="center"/>
          </w:tcPr>
          <w:p w14:paraId="727A8657">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市</w:t>
            </w:r>
          </w:p>
        </w:tc>
        <w:tc>
          <w:tcPr>
            <w:tcW w:w="452" w:type="pct"/>
            <w:vAlign w:val="center"/>
          </w:tcPr>
          <w:p w14:paraId="39BC3A36">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区</w:t>
            </w:r>
          </w:p>
        </w:tc>
        <w:tc>
          <w:tcPr>
            <w:tcW w:w="508" w:type="pct"/>
            <w:vAlign w:val="center"/>
          </w:tcPr>
          <w:p w14:paraId="2E4DBCB4">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小计</w:t>
            </w:r>
          </w:p>
        </w:tc>
        <w:tc>
          <w:tcPr>
            <w:tcW w:w="340" w:type="pct"/>
            <w:vAlign w:val="center"/>
          </w:tcPr>
          <w:p w14:paraId="26DF4D40">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市</w:t>
            </w:r>
          </w:p>
        </w:tc>
        <w:tc>
          <w:tcPr>
            <w:tcW w:w="452" w:type="pct"/>
            <w:vAlign w:val="center"/>
          </w:tcPr>
          <w:p w14:paraId="556ABD71">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区</w:t>
            </w:r>
          </w:p>
        </w:tc>
        <w:tc>
          <w:tcPr>
            <w:tcW w:w="452" w:type="pct"/>
            <w:vAlign w:val="center"/>
          </w:tcPr>
          <w:p w14:paraId="234C4157">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小计</w:t>
            </w:r>
          </w:p>
        </w:tc>
        <w:tc>
          <w:tcPr>
            <w:tcW w:w="340" w:type="pct"/>
            <w:vAlign w:val="center"/>
          </w:tcPr>
          <w:p w14:paraId="402D83D2">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市</w:t>
            </w:r>
          </w:p>
        </w:tc>
        <w:tc>
          <w:tcPr>
            <w:tcW w:w="252" w:type="pct"/>
            <w:vAlign w:val="center"/>
          </w:tcPr>
          <w:p w14:paraId="53929724">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区</w:t>
            </w:r>
          </w:p>
        </w:tc>
        <w:tc>
          <w:tcPr>
            <w:tcW w:w="359" w:type="pct"/>
            <w:vAlign w:val="center"/>
          </w:tcPr>
          <w:p w14:paraId="54568D4F">
            <w:pPr>
              <w:widowControl/>
              <w:jc w:val="center"/>
              <w:rPr>
                <w:rFonts w:ascii="仿宋" w:hAnsi="仿宋" w:eastAsia="仿宋" w:cs="Times New Roman"/>
                <w:b/>
                <w:bCs/>
                <w:kern w:val="0"/>
                <w:sz w:val="16"/>
                <w:szCs w:val="16"/>
              </w:rPr>
            </w:pPr>
            <w:r>
              <w:rPr>
                <w:rFonts w:hint="eastAsia" w:ascii="仿宋" w:hAnsi="仿宋" w:eastAsia="仿宋" w:cs="仿宋"/>
                <w:b/>
                <w:bCs/>
                <w:kern w:val="0"/>
                <w:sz w:val="16"/>
                <w:szCs w:val="16"/>
              </w:rPr>
              <w:t>小计</w:t>
            </w:r>
          </w:p>
        </w:tc>
        <w:tc>
          <w:tcPr>
            <w:tcW w:w="508" w:type="pct"/>
            <w:vMerge w:val="continue"/>
            <w:noWrap/>
            <w:vAlign w:val="center"/>
          </w:tcPr>
          <w:p w14:paraId="55BD5B96">
            <w:pPr>
              <w:widowControl/>
              <w:jc w:val="center"/>
              <w:rPr>
                <w:rFonts w:ascii="仿宋" w:hAnsi="仿宋" w:eastAsia="仿宋" w:cs="Times New Roman"/>
                <w:b/>
                <w:bCs/>
                <w:kern w:val="0"/>
                <w:sz w:val="16"/>
                <w:szCs w:val="16"/>
              </w:rPr>
            </w:pPr>
          </w:p>
        </w:tc>
      </w:tr>
      <w:tr w14:paraId="684F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36BD77CC">
            <w:pPr>
              <w:widowControl/>
              <w:jc w:val="center"/>
              <w:rPr>
                <w:rFonts w:ascii="仿宋" w:hAnsi="仿宋" w:eastAsia="仿宋" w:cs="Times New Roman"/>
                <w:kern w:val="0"/>
                <w:sz w:val="15"/>
                <w:szCs w:val="15"/>
              </w:rPr>
            </w:pPr>
            <w:bookmarkStart w:id="8" w:name="_Hlk225165481"/>
            <w:r>
              <w:rPr>
                <w:rFonts w:hint="eastAsia" w:ascii="仿宋" w:hAnsi="仿宋" w:eastAsia="仿宋" w:cs="仿宋"/>
                <w:kern w:val="0"/>
                <w:sz w:val="15"/>
                <w:szCs w:val="15"/>
              </w:rPr>
              <w:t>玄武区</w:t>
            </w:r>
          </w:p>
        </w:tc>
        <w:tc>
          <w:tcPr>
            <w:tcW w:w="396" w:type="pct"/>
            <w:vAlign w:val="center"/>
          </w:tcPr>
          <w:p w14:paraId="61BAFE1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15.57</w:t>
            </w:r>
          </w:p>
        </w:tc>
        <w:tc>
          <w:tcPr>
            <w:tcW w:w="396" w:type="pct"/>
            <w:noWrap/>
            <w:vAlign w:val="center"/>
          </w:tcPr>
          <w:p w14:paraId="34660972">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17.60</w:t>
            </w:r>
          </w:p>
        </w:tc>
        <w:tc>
          <w:tcPr>
            <w:tcW w:w="452" w:type="pct"/>
            <w:vAlign w:val="center"/>
          </w:tcPr>
          <w:p w14:paraId="1D810ED5">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61.00</w:t>
            </w:r>
          </w:p>
        </w:tc>
        <w:tc>
          <w:tcPr>
            <w:tcW w:w="508" w:type="pct"/>
            <w:vAlign w:val="center"/>
          </w:tcPr>
          <w:p w14:paraId="4B955D7D">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94.17</w:t>
            </w:r>
          </w:p>
        </w:tc>
        <w:tc>
          <w:tcPr>
            <w:tcW w:w="340" w:type="pct"/>
            <w:vAlign w:val="center"/>
          </w:tcPr>
          <w:p w14:paraId="681BA4C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37B8D2D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24.35</w:t>
            </w:r>
          </w:p>
        </w:tc>
        <w:tc>
          <w:tcPr>
            <w:tcW w:w="452" w:type="pct"/>
            <w:vAlign w:val="center"/>
          </w:tcPr>
          <w:p w14:paraId="025B63D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26.35</w:t>
            </w:r>
          </w:p>
        </w:tc>
        <w:tc>
          <w:tcPr>
            <w:tcW w:w="340" w:type="pct"/>
            <w:vAlign w:val="center"/>
          </w:tcPr>
          <w:p w14:paraId="45E94137">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252" w:type="pct"/>
            <w:vAlign w:val="center"/>
          </w:tcPr>
          <w:p w14:paraId="1FA51F92">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650A66A9">
            <w:pPr>
              <w:widowControl/>
              <w:ind w:left="-107" w:leftChars="-51" w:right="-842" w:rightChars="-401"/>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508" w:type="pct"/>
            <w:noWrap/>
            <w:vAlign w:val="center"/>
          </w:tcPr>
          <w:p w14:paraId="196E7A8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120.52</w:t>
            </w:r>
          </w:p>
        </w:tc>
      </w:tr>
      <w:tr w14:paraId="4EDD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1E84BC83">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秦淮区</w:t>
            </w:r>
          </w:p>
        </w:tc>
        <w:tc>
          <w:tcPr>
            <w:tcW w:w="396" w:type="pct"/>
            <w:vAlign w:val="center"/>
          </w:tcPr>
          <w:p w14:paraId="3C1BC6CC">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24.25</w:t>
            </w:r>
          </w:p>
        </w:tc>
        <w:tc>
          <w:tcPr>
            <w:tcW w:w="396" w:type="pct"/>
            <w:noWrap/>
            <w:vAlign w:val="center"/>
          </w:tcPr>
          <w:p w14:paraId="12BBB975">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27.44</w:t>
            </w:r>
          </w:p>
        </w:tc>
        <w:tc>
          <w:tcPr>
            <w:tcW w:w="452" w:type="pct"/>
            <w:vAlign w:val="center"/>
          </w:tcPr>
          <w:p w14:paraId="5F3436B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208.77</w:t>
            </w:r>
          </w:p>
        </w:tc>
        <w:tc>
          <w:tcPr>
            <w:tcW w:w="508" w:type="pct"/>
            <w:vAlign w:val="center"/>
          </w:tcPr>
          <w:p w14:paraId="0F7AC1E7">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260.46</w:t>
            </w:r>
          </w:p>
        </w:tc>
        <w:tc>
          <w:tcPr>
            <w:tcW w:w="340" w:type="pct"/>
            <w:vAlign w:val="center"/>
          </w:tcPr>
          <w:p w14:paraId="02D7E982">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45E0417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200.00</w:t>
            </w:r>
          </w:p>
        </w:tc>
        <w:tc>
          <w:tcPr>
            <w:tcW w:w="452" w:type="pct"/>
            <w:vAlign w:val="center"/>
          </w:tcPr>
          <w:p w14:paraId="62A70C73">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202.00</w:t>
            </w:r>
          </w:p>
        </w:tc>
        <w:tc>
          <w:tcPr>
            <w:tcW w:w="340" w:type="pct"/>
            <w:vAlign w:val="center"/>
          </w:tcPr>
          <w:p w14:paraId="79F22437">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252" w:type="pct"/>
            <w:vAlign w:val="center"/>
          </w:tcPr>
          <w:p w14:paraId="2A532A7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2B711BB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508" w:type="pct"/>
            <w:noWrap/>
            <w:vAlign w:val="center"/>
          </w:tcPr>
          <w:p w14:paraId="7DD16E54">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462.46</w:t>
            </w:r>
          </w:p>
        </w:tc>
      </w:tr>
      <w:tr w14:paraId="64AC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33D548B7">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建邺区</w:t>
            </w:r>
          </w:p>
        </w:tc>
        <w:tc>
          <w:tcPr>
            <w:tcW w:w="396" w:type="pct"/>
            <w:vAlign w:val="center"/>
          </w:tcPr>
          <w:p w14:paraId="5933D79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19.38</w:t>
            </w:r>
          </w:p>
        </w:tc>
        <w:tc>
          <w:tcPr>
            <w:tcW w:w="396" w:type="pct"/>
            <w:noWrap/>
            <w:vAlign w:val="center"/>
          </w:tcPr>
          <w:p w14:paraId="578FEAF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21.96</w:t>
            </w:r>
          </w:p>
        </w:tc>
        <w:tc>
          <w:tcPr>
            <w:tcW w:w="452" w:type="pct"/>
            <w:vAlign w:val="center"/>
          </w:tcPr>
          <w:p w14:paraId="21790F0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35.00</w:t>
            </w:r>
          </w:p>
        </w:tc>
        <w:tc>
          <w:tcPr>
            <w:tcW w:w="508" w:type="pct"/>
            <w:vAlign w:val="center"/>
          </w:tcPr>
          <w:p w14:paraId="44D28ED7">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76.34</w:t>
            </w:r>
          </w:p>
        </w:tc>
        <w:tc>
          <w:tcPr>
            <w:tcW w:w="340" w:type="pct"/>
            <w:vAlign w:val="center"/>
          </w:tcPr>
          <w:p w14:paraId="73DD4FAC">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0CEBF1A4">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50.58</w:t>
            </w:r>
          </w:p>
        </w:tc>
        <w:tc>
          <w:tcPr>
            <w:tcW w:w="452" w:type="pct"/>
            <w:vAlign w:val="center"/>
          </w:tcPr>
          <w:p w14:paraId="4EC81FB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52.58</w:t>
            </w:r>
          </w:p>
        </w:tc>
        <w:tc>
          <w:tcPr>
            <w:tcW w:w="340" w:type="pct"/>
            <w:vAlign w:val="center"/>
          </w:tcPr>
          <w:p w14:paraId="2AB0957D">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252" w:type="pct"/>
            <w:vAlign w:val="center"/>
          </w:tcPr>
          <w:p w14:paraId="1453F65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32155D5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508" w:type="pct"/>
            <w:noWrap/>
            <w:vAlign w:val="center"/>
          </w:tcPr>
          <w:p w14:paraId="72E942C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128.92</w:t>
            </w:r>
          </w:p>
        </w:tc>
      </w:tr>
      <w:tr w14:paraId="5B71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5AA5FD14">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鼓楼区</w:t>
            </w:r>
          </w:p>
        </w:tc>
        <w:tc>
          <w:tcPr>
            <w:tcW w:w="396" w:type="pct"/>
            <w:vAlign w:val="center"/>
          </w:tcPr>
          <w:p w14:paraId="403808D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23.58</w:t>
            </w:r>
          </w:p>
        </w:tc>
        <w:tc>
          <w:tcPr>
            <w:tcW w:w="396" w:type="pct"/>
            <w:noWrap/>
            <w:vAlign w:val="center"/>
          </w:tcPr>
          <w:p w14:paraId="2EEBFBB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26.63</w:t>
            </w:r>
          </w:p>
        </w:tc>
        <w:tc>
          <w:tcPr>
            <w:tcW w:w="452" w:type="pct"/>
            <w:vAlign w:val="center"/>
          </w:tcPr>
          <w:p w14:paraId="4905498D">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200.54</w:t>
            </w:r>
          </w:p>
        </w:tc>
        <w:tc>
          <w:tcPr>
            <w:tcW w:w="508" w:type="pct"/>
            <w:vAlign w:val="center"/>
          </w:tcPr>
          <w:p w14:paraId="30171F6C">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250.75</w:t>
            </w:r>
          </w:p>
        </w:tc>
        <w:tc>
          <w:tcPr>
            <w:tcW w:w="340" w:type="pct"/>
            <w:vAlign w:val="center"/>
          </w:tcPr>
          <w:p w14:paraId="603CE9A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546816F3">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80.00</w:t>
            </w:r>
          </w:p>
        </w:tc>
        <w:tc>
          <w:tcPr>
            <w:tcW w:w="452" w:type="pct"/>
            <w:vAlign w:val="center"/>
          </w:tcPr>
          <w:p w14:paraId="1A05251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82.00</w:t>
            </w:r>
          </w:p>
        </w:tc>
        <w:tc>
          <w:tcPr>
            <w:tcW w:w="340" w:type="pct"/>
            <w:vAlign w:val="center"/>
          </w:tcPr>
          <w:p w14:paraId="433D482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252" w:type="pct"/>
            <w:vAlign w:val="center"/>
          </w:tcPr>
          <w:p w14:paraId="1BB6218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35CFC7F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508" w:type="pct"/>
            <w:noWrap/>
            <w:vAlign w:val="center"/>
          </w:tcPr>
          <w:p w14:paraId="5C596183">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332.75</w:t>
            </w:r>
          </w:p>
        </w:tc>
      </w:tr>
      <w:tr w14:paraId="01C7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198918F2">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栖霞区</w:t>
            </w:r>
          </w:p>
        </w:tc>
        <w:tc>
          <w:tcPr>
            <w:tcW w:w="396" w:type="pct"/>
            <w:vAlign w:val="center"/>
          </w:tcPr>
          <w:p w14:paraId="57ABF50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28.47</w:t>
            </w:r>
          </w:p>
        </w:tc>
        <w:tc>
          <w:tcPr>
            <w:tcW w:w="396" w:type="pct"/>
            <w:noWrap/>
            <w:vAlign w:val="center"/>
          </w:tcPr>
          <w:p w14:paraId="2C96C144">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32.18</w:t>
            </w:r>
          </w:p>
        </w:tc>
        <w:tc>
          <w:tcPr>
            <w:tcW w:w="452" w:type="pct"/>
            <w:vAlign w:val="center"/>
          </w:tcPr>
          <w:p w14:paraId="5624F075">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60.00</w:t>
            </w:r>
          </w:p>
        </w:tc>
        <w:tc>
          <w:tcPr>
            <w:tcW w:w="508" w:type="pct"/>
            <w:vAlign w:val="center"/>
          </w:tcPr>
          <w:p w14:paraId="60684F5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120.65</w:t>
            </w:r>
          </w:p>
        </w:tc>
        <w:tc>
          <w:tcPr>
            <w:tcW w:w="340" w:type="pct"/>
            <w:vAlign w:val="center"/>
          </w:tcPr>
          <w:p w14:paraId="5763E192">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7DBB653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34.00</w:t>
            </w:r>
          </w:p>
        </w:tc>
        <w:tc>
          <w:tcPr>
            <w:tcW w:w="452" w:type="pct"/>
            <w:vAlign w:val="center"/>
          </w:tcPr>
          <w:p w14:paraId="47517A9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36.00</w:t>
            </w:r>
          </w:p>
        </w:tc>
        <w:tc>
          <w:tcPr>
            <w:tcW w:w="340" w:type="pct"/>
            <w:vAlign w:val="center"/>
          </w:tcPr>
          <w:p w14:paraId="7C69BB9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252" w:type="pct"/>
            <w:vAlign w:val="center"/>
          </w:tcPr>
          <w:p w14:paraId="1077730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78FF84E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508" w:type="pct"/>
            <w:noWrap/>
            <w:vAlign w:val="center"/>
          </w:tcPr>
          <w:p w14:paraId="37B2BAF4">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156.65</w:t>
            </w:r>
          </w:p>
        </w:tc>
      </w:tr>
      <w:tr w14:paraId="3617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0CB7795B">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雨花台区</w:t>
            </w:r>
          </w:p>
        </w:tc>
        <w:tc>
          <w:tcPr>
            <w:tcW w:w="396" w:type="pct"/>
            <w:vAlign w:val="center"/>
          </w:tcPr>
          <w:p w14:paraId="105F60F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25.45</w:t>
            </w:r>
          </w:p>
        </w:tc>
        <w:tc>
          <w:tcPr>
            <w:tcW w:w="396" w:type="pct"/>
            <w:noWrap/>
            <w:vAlign w:val="center"/>
          </w:tcPr>
          <w:p w14:paraId="0DB90C84">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28.77</w:t>
            </w:r>
          </w:p>
        </w:tc>
        <w:tc>
          <w:tcPr>
            <w:tcW w:w="452" w:type="pct"/>
            <w:vAlign w:val="center"/>
          </w:tcPr>
          <w:p w14:paraId="250D269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55.00</w:t>
            </w:r>
          </w:p>
        </w:tc>
        <w:tc>
          <w:tcPr>
            <w:tcW w:w="508" w:type="pct"/>
            <w:vAlign w:val="center"/>
          </w:tcPr>
          <w:p w14:paraId="1411A9B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109.22</w:t>
            </w:r>
          </w:p>
        </w:tc>
        <w:tc>
          <w:tcPr>
            <w:tcW w:w="340" w:type="pct"/>
            <w:vAlign w:val="center"/>
          </w:tcPr>
          <w:p w14:paraId="6A1791B3">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04212A06">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24.00</w:t>
            </w:r>
          </w:p>
        </w:tc>
        <w:tc>
          <w:tcPr>
            <w:tcW w:w="452" w:type="pct"/>
            <w:vAlign w:val="center"/>
          </w:tcPr>
          <w:p w14:paraId="00CBADC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26.00</w:t>
            </w:r>
          </w:p>
        </w:tc>
        <w:tc>
          <w:tcPr>
            <w:tcW w:w="340" w:type="pct"/>
            <w:vAlign w:val="center"/>
          </w:tcPr>
          <w:p w14:paraId="11460E5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252" w:type="pct"/>
            <w:vAlign w:val="center"/>
          </w:tcPr>
          <w:p w14:paraId="1645EBC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507CD2B5">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508" w:type="pct"/>
            <w:noWrap/>
            <w:vAlign w:val="center"/>
          </w:tcPr>
          <w:p w14:paraId="745936DC">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135.22</w:t>
            </w:r>
          </w:p>
        </w:tc>
      </w:tr>
      <w:tr w14:paraId="6645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674C9656">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江宁区</w:t>
            </w:r>
          </w:p>
        </w:tc>
        <w:tc>
          <w:tcPr>
            <w:tcW w:w="396" w:type="pct"/>
            <w:vAlign w:val="center"/>
          </w:tcPr>
          <w:p w14:paraId="27CF11EF">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59.32</w:t>
            </w:r>
          </w:p>
        </w:tc>
        <w:tc>
          <w:tcPr>
            <w:tcW w:w="396" w:type="pct"/>
            <w:noWrap/>
            <w:vAlign w:val="center"/>
          </w:tcPr>
          <w:p w14:paraId="3AF89FF7">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67.15</w:t>
            </w:r>
          </w:p>
        </w:tc>
        <w:tc>
          <w:tcPr>
            <w:tcW w:w="452" w:type="pct"/>
            <w:vAlign w:val="center"/>
          </w:tcPr>
          <w:p w14:paraId="7B5DC74C">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30.00</w:t>
            </w:r>
          </w:p>
        </w:tc>
        <w:tc>
          <w:tcPr>
            <w:tcW w:w="508" w:type="pct"/>
            <w:vAlign w:val="center"/>
          </w:tcPr>
          <w:p w14:paraId="2A21A73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156.47</w:t>
            </w:r>
          </w:p>
        </w:tc>
        <w:tc>
          <w:tcPr>
            <w:tcW w:w="340" w:type="pct"/>
            <w:vAlign w:val="center"/>
          </w:tcPr>
          <w:p w14:paraId="6D1C382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1809323F">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150.00</w:t>
            </w:r>
          </w:p>
        </w:tc>
        <w:tc>
          <w:tcPr>
            <w:tcW w:w="452" w:type="pct"/>
            <w:vAlign w:val="center"/>
          </w:tcPr>
          <w:p w14:paraId="142B9067">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152.00</w:t>
            </w:r>
          </w:p>
        </w:tc>
        <w:tc>
          <w:tcPr>
            <w:tcW w:w="340" w:type="pct"/>
            <w:vAlign w:val="center"/>
          </w:tcPr>
          <w:p w14:paraId="14B375B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2.30</w:t>
            </w:r>
          </w:p>
        </w:tc>
        <w:tc>
          <w:tcPr>
            <w:tcW w:w="252" w:type="pct"/>
            <w:vAlign w:val="center"/>
          </w:tcPr>
          <w:p w14:paraId="7DD334A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14E51D4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2.30</w:t>
            </w:r>
          </w:p>
        </w:tc>
        <w:tc>
          <w:tcPr>
            <w:tcW w:w="508" w:type="pct"/>
            <w:noWrap/>
            <w:vAlign w:val="center"/>
          </w:tcPr>
          <w:p w14:paraId="1084024D">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310.77</w:t>
            </w:r>
          </w:p>
        </w:tc>
      </w:tr>
      <w:tr w14:paraId="3CBF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093FB590">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浦口区</w:t>
            </w:r>
          </w:p>
        </w:tc>
        <w:tc>
          <w:tcPr>
            <w:tcW w:w="396" w:type="pct"/>
            <w:vAlign w:val="center"/>
          </w:tcPr>
          <w:p w14:paraId="0FA1430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21.00</w:t>
            </w:r>
          </w:p>
        </w:tc>
        <w:tc>
          <w:tcPr>
            <w:tcW w:w="396" w:type="pct"/>
            <w:noWrap/>
            <w:vAlign w:val="center"/>
          </w:tcPr>
          <w:p w14:paraId="7718D426">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23.77</w:t>
            </w:r>
          </w:p>
        </w:tc>
        <w:tc>
          <w:tcPr>
            <w:tcW w:w="452" w:type="pct"/>
            <w:vAlign w:val="center"/>
          </w:tcPr>
          <w:p w14:paraId="590B70BF">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25.00</w:t>
            </w:r>
          </w:p>
        </w:tc>
        <w:tc>
          <w:tcPr>
            <w:tcW w:w="508" w:type="pct"/>
            <w:vAlign w:val="center"/>
          </w:tcPr>
          <w:p w14:paraId="378220A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69.77</w:t>
            </w:r>
          </w:p>
        </w:tc>
        <w:tc>
          <w:tcPr>
            <w:tcW w:w="340" w:type="pct"/>
            <w:vAlign w:val="center"/>
          </w:tcPr>
          <w:p w14:paraId="62D0642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1C41F2A6">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8.00</w:t>
            </w:r>
          </w:p>
        </w:tc>
        <w:tc>
          <w:tcPr>
            <w:tcW w:w="452" w:type="pct"/>
            <w:vAlign w:val="center"/>
          </w:tcPr>
          <w:p w14:paraId="5988F71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10.00</w:t>
            </w:r>
          </w:p>
        </w:tc>
        <w:tc>
          <w:tcPr>
            <w:tcW w:w="340" w:type="pct"/>
            <w:vAlign w:val="center"/>
          </w:tcPr>
          <w:p w14:paraId="7572079F">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1.40</w:t>
            </w:r>
          </w:p>
        </w:tc>
        <w:tc>
          <w:tcPr>
            <w:tcW w:w="252" w:type="pct"/>
            <w:vAlign w:val="center"/>
          </w:tcPr>
          <w:p w14:paraId="31B1CDF5">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2C048DA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1.40</w:t>
            </w:r>
          </w:p>
        </w:tc>
        <w:tc>
          <w:tcPr>
            <w:tcW w:w="508" w:type="pct"/>
            <w:noWrap/>
            <w:vAlign w:val="center"/>
          </w:tcPr>
          <w:p w14:paraId="3E83CFE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81.17</w:t>
            </w:r>
          </w:p>
        </w:tc>
      </w:tr>
      <w:tr w14:paraId="1427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5CEE998B">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六合区</w:t>
            </w:r>
          </w:p>
        </w:tc>
        <w:tc>
          <w:tcPr>
            <w:tcW w:w="396" w:type="pct"/>
            <w:vAlign w:val="center"/>
          </w:tcPr>
          <w:p w14:paraId="65FB41C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26.67</w:t>
            </w:r>
          </w:p>
        </w:tc>
        <w:tc>
          <w:tcPr>
            <w:tcW w:w="396" w:type="pct"/>
            <w:noWrap/>
            <w:vAlign w:val="center"/>
          </w:tcPr>
          <w:p w14:paraId="03E9DB7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30.18</w:t>
            </w:r>
          </w:p>
        </w:tc>
        <w:tc>
          <w:tcPr>
            <w:tcW w:w="452" w:type="pct"/>
            <w:vAlign w:val="center"/>
          </w:tcPr>
          <w:p w14:paraId="0D1FDFBC">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85.00</w:t>
            </w:r>
          </w:p>
        </w:tc>
        <w:tc>
          <w:tcPr>
            <w:tcW w:w="508" w:type="pct"/>
            <w:vAlign w:val="center"/>
          </w:tcPr>
          <w:p w14:paraId="02A9A824">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141.85</w:t>
            </w:r>
          </w:p>
        </w:tc>
        <w:tc>
          <w:tcPr>
            <w:tcW w:w="340" w:type="pct"/>
            <w:vAlign w:val="center"/>
          </w:tcPr>
          <w:p w14:paraId="577C013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2A51D68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4.79</w:t>
            </w:r>
          </w:p>
        </w:tc>
        <w:tc>
          <w:tcPr>
            <w:tcW w:w="452" w:type="pct"/>
            <w:vAlign w:val="center"/>
          </w:tcPr>
          <w:p w14:paraId="3964FAF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6.79</w:t>
            </w:r>
          </w:p>
        </w:tc>
        <w:tc>
          <w:tcPr>
            <w:tcW w:w="340" w:type="pct"/>
            <w:vAlign w:val="center"/>
          </w:tcPr>
          <w:p w14:paraId="2885A6FD">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1.00</w:t>
            </w:r>
          </w:p>
        </w:tc>
        <w:tc>
          <w:tcPr>
            <w:tcW w:w="252" w:type="pct"/>
            <w:vAlign w:val="center"/>
          </w:tcPr>
          <w:p w14:paraId="18BEDD93">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6E5F3C24">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1.00</w:t>
            </w:r>
          </w:p>
        </w:tc>
        <w:tc>
          <w:tcPr>
            <w:tcW w:w="508" w:type="pct"/>
            <w:noWrap/>
            <w:vAlign w:val="center"/>
          </w:tcPr>
          <w:p w14:paraId="61DC75D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149.64</w:t>
            </w:r>
          </w:p>
        </w:tc>
      </w:tr>
      <w:tr w14:paraId="15C5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78812ABC">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溧水区</w:t>
            </w:r>
          </w:p>
        </w:tc>
        <w:tc>
          <w:tcPr>
            <w:tcW w:w="396" w:type="pct"/>
            <w:vAlign w:val="center"/>
          </w:tcPr>
          <w:p w14:paraId="5FBC78A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24.00</w:t>
            </w:r>
          </w:p>
        </w:tc>
        <w:tc>
          <w:tcPr>
            <w:tcW w:w="396" w:type="pct"/>
            <w:noWrap/>
            <w:vAlign w:val="center"/>
          </w:tcPr>
          <w:p w14:paraId="2AF3984F">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27.13</w:t>
            </w:r>
          </w:p>
        </w:tc>
        <w:tc>
          <w:tcPr>
            <w:tcW w:w="452" w:type="pct"/>
            <w:vAlign w:val="center"/>
          </w:tcPr>
          <w:p w14:paraId="6F2653DD">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32.02</w:t>
            </w:r>
          </w:p>
        </w:tc>
        <w:tc>
          <w:tcPr>
            <w:tcW w:w="508" w:type="pct"/>
            <w:vAlign w:val="center"/>
          </w:tcPr>
          <w:p w14:paraId="50E5866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83.15</w:t>
            </w:r>
          </w:p>
        </w:tc>
        <w:tc>
          <w:tcPr>
            <w:tcW w:w="340" w:type="pct"/>
            <w:vAlign w:val="center"/>
          </w:tcPr>
          <w:p w14:paraId="45AB3290">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3070A24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16.63</w:t>
            </w:r>
          </w:p>
        </w:tc>
        <w:tc>
          <w:tcPr>
            <w:tcW w:w="452" w:type="pct"/>
            <w:vAlign w:val="center"/>
          </w:tcPr>
          <w:p w14:paraId="0576401D">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18.63</w:t>
            </w:r>
          </w:p>
        </w:tc>
        <w:tc>
          <w:tcPr>
            <w:tcW w:w="340" w:type="pct"/>
            <w:vAlign w:val="center"/>
          </w:tcPr>
          <w:p w14:paraId="1F516BDD">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2.30</w:t>
            </w:r>
          </w:p>
        </w:tc>
        <w:tc>
          <w:tcPr>
            <w:tcW w:w="252" w:type="pct"/>
            <w:vAlign w:val="center"/>
          </w:tcPr>
          <w:p w14:paraId="2A402C56">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6EF7DA3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2.30</w:t>
            </w:r>
          </w:p>
        </w:tc>
        <w:tc>
          <w:tcPr>
            <w:tcW w:w="508" w:type="pct"/>
            <w:noWrap/>
            <w:vAlign w:val="center"/>
          </w:tcPr>
          <w:p w14:paraId="182F362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104.08</w:t>
            </w:r>
          </w:p>
        </w:tc>
      </w:tr>
      <w:tr w14:paraId="3462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0CC5E24E">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高淳区</w:t>
            </w:r>
          </w:p>
        </w:tc>
        <w:tc>
          <w:tcPr>
            <w:tcW w:w="396" w:type="pct"/>
            <w:vAlign w:val="center"/>
          </w:tcPr>
          <w:p w14:paraId="3E1AD4D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18.82</w:t>
            </w:r>
          </w:p>
        </w:tc>
        <w:tc>
          <w:tcPr>
            <w:tcW w:w="396" w:type="pct"/>
            <w:noWrap/>
            <w:vAlign w:val="center"/>
          </w:tcPr>
          <w:p w14:paraId="6E634084">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21.43</w:t>
            </w:r>
          </w:p>
        </w:tc>
        <w:tc>
          <w:tcPr>
            <w:tcW w:w="452" w:type="pct"/>
            <w:vAlign w:val="center"/>
          </w:tcPr>
          <w:p w14:paraId="509D0F4F">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32.00</w:t>
            </w:r>
          </w:p>
        </w:tc>
        <w:tc>
          <w:tcPr>
            <w:tcW w:w="508" w:type="pct"/>
            <w:vAlign w:val="center"/>
          </w:tcPr>
          <w:p w14:paraId="03183A8F">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72.25</w:t>
            </w:r>
          </w:p>
        </w:tc>
        <w:tc>
          <w:tcPr>
            <w:tcW w:w="340" w:type="pct"/>
            <w:vAlign w:val="center"/>
          </w:tcPr>
          <w:p w14:paraId="6FFE330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16DA79C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45.00</w:t>
            </w:r>
          </w:p>
        </w:tc>
        <w:tc>
          <w:tcPr>
            <w:tcW w:w="452" w:type="pct"/>
            <w:vAlign w:val="center"/>
          </w:tcPr>
          <w:p w14:paraId="1C30B2C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47.00</w:t>
            </w:r>
          </w:p>
        </w:tc>
        <w:tc>
          <w:tcPr>
            <w:tcW w:w="340" w:type="pct"/>
            <w:vAlign w:val="center"/>
          </w:tcPr>
          <w:p w14:paraId="12BBB3FE">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1.00</w:t>
            </w:r>
          </w:p>
        </w:tc>
        <w:tc>
          <w:tcPr>
            <w:tcW w:w="252" w:type="pct"/>
            <w:vAlign w:val="center"/>
          </w:tcPr>
          <w:p w14:paraId="39140AB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2DADF06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1.00</w:t>
            </w:r>
          </w:p>
        </w:tc>
        <w:tc>
          <w:tcPr>
            <w:tcW w:w="508" w:type="pct"/>
            <w:noWrap/>
            <w:vAlign w:val="center"/>
          </w:tcPr>
          <w:p w14:paraId="66F05D55">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120.25</w:t>
            </w:r>
          </w:p>
        </w:tc>
      </w:tr>
      <w:tr w14:paraId="2354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6" w:type="pct"/>
            <w:vAlign w:val="center"/>
          </w:tcPr>
          <w:p w14:paraId="20BE5D83">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江北新区</w:t>
            </w:r>
          </w:p>
        </w:tc>
        <w:tc>
          <w:tcPr>
            <w:tcW w:w="396" w:type="pct"/>
            <w:vAlign w:val="center"/>
          </w:tcPr>
          <w:p w14:paraId="444DB95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31.49</w:t>
            </w:r>
          </w:p>
        </w:tc>
        <w:tc>
          <w:tcPr>
            <w:tcW w:w="396" w:type="pct"/>
            <w:noWrap/>
            <w:vAlign w:val="center"/>
          </w:tcPr>
          <w:p w14:paraId="44189E6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35.76</w:t>
            </w:r>
          </w:p>
        </w:tc>
        <w:tc>
          <w:tcPr>
            <w:tcW w:w="452" w:type="pct"/>
            <w:vAlign w:val="center"/>
          </w:tcPr>
          <w:p w14:paraId="1D855A47">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35.00</w:t>
            </w:r>
          </w:p>
        </w:tc>
        <w:tc>
          <w:tcPr>
            <w:tcW w:w="508" w:type="pct"/>
            <w:vAlign w:val="center"/>
          </w:tcPr>
          <w:p w14:paraId="0F30FBFB">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102.25</w:t>
            </w:r>
          </w:p>
        </w:tc>
        <w:tc>
          <w:tcPr>
            <w:tcW w:w="340" w:type="pct"/>
            <w:vAlign w:val="center"/>
          </w:tcPr>
          <w:p w14:paraId="7F8B3248">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452" w:type="pct"/>
            <w:vAlign w:val="center"/>
          </w:tcPr>
          <w:p w14:paraId="2388593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452" w:type="pct"/>
            <w:vAlign w:val="center"/>
          </w:tcPr>
          <w:p w14:paraId="193C7D7A">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340" w:type="pct"/>
            <w:vAlign w:val="center"/>
          </w:tcPr>
          <w:p w14:paraId="3735DDB3">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252" w:type="pct"/>
            <w:vAlign w:val="center"/>
          </w:tcPr>
          <w:p w14:paraId="44A2CE61">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w:t>
            </w:r>
          </w:p>
        </w:tc>
        <w:tc>
          <w:tcPr>
            <w:tcW w:w="359" w:type="pct"/>
            <w:vAlign w:val="center"/>
          </w:tcPr>
          <w:p w14:paraId="03CA8959">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2.00</w:t>
            </w:r>
          </w:p>
        </w:tc>
        <w:tc>
          <w:tcPr>
            <w:tcW w:w="508" w:type="pct"/>
            <w:noWrap/>
            <w:vAlign w:val="center"/>
          </w:tcPr>
          <w:p w14:paraId="06E727D6">
            <w:pPr>
              <w:widowControl/>
              <w:jc w:val="center"/>
              <w:textAlignment w:val="center"/>
              <w:rPr>
                <w:rFonts w:ascii="仿宋" w:hAnsi="仿宋" w:eastAsia="仿宋" w:cs="Times New Roman"/>
                <w:kern w:val="0"/>
                <w:sz w:val="15"/>
                <w:szCs w:val="15"/>
              </w:rPr>
            </w:pPr>
            <w:r>
              <w:rPr>
                <w:rFonts w:ascii="仿宋" w:hAnsi="仿宋" w:eastAsia="仿宋" w:cs="仿宋"/>
                <w:color w:val="000000"/>
                <w:kern w:val="0"/>
                <w:sz w:val="15"/>
                <w:szCs w:val="15"/>
              </w:rPr>
              <w:t>106.25</w:t>
            </w:r>
          </w:p>
        </w:tc>
      </w:tr>
      <w:tr w14:paraId="552A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6" w:type="pct"/>
            <w:vAlign w:val="center"/>
          </w:tcPr>
          <w:p w14:paraId="736AD169">
            <w:pPr>
              <w:widowControl/>
              <w:jc w:val="center"/>
              <w:rPr>
                <w:rFonts w:ascii="仿宋" w:hAnsi="仿宋" w:eastAsia="仿宋" w:cs="Times New Roman"/>
                <w:kern w:val="0"/>
                <w:sz w:val="15"/>
                <w:szCs w:val="15"/>
              </w:rPr>
            </w:pPr>
            <w:r>
              <w:rPr>
                <w:rFonts w:hint="eastAsia" w:ascii="仿宋" w:hAnsi="仿宋" w:eastAsia="仿宋" w:cs="仿宋"/>
                <w:kern w:val="0"/>
                <w:sz w:val="15"/>
                <w:szCs w:val="15"/>
              </w:rPr>
              <w:t>合计</w:t>
            </w:r>
          </w:p>
        </w:tc>
        <w:tc>
          <w:tcPr>
            <w:tcW w:w="396" w:type="pct"/>
            <w:vAlign w:val="center"/>
          </w:tcPr>
          <w:p w14:paraId="124245B9">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318</w:t>
            </w:r>
          </w:p>
        </w:tc>
        <w:tc>
          <w:tcPr>
            <w:tcW w:w="396" w:type="pct"/>
            <w:noWrap/>
            <w:vAlign w:val="center"/>
          </w:tcPr>
          <w:p w14:paraId="2B219CAC">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360</w:t>
            </w:r>
          </w:p>
        </w:tc>
        <w:tc>
          <w:tcPr>
            <w:tcW w:w="452" w:type="pct"/>
            <w:vAlign w:val="center"/>
          </w:tcPr>
          <w:p w14:paraId="48E5B436">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859.33</w:t>
            </w:r>
          </w:p>
        </w:tc>
        <w:tc>
          <w:tcPr>
            <w:tcW w:w="508" w:type="pct"/>
            <w:vAlign w:val="center"/>
          </w:tcPr>
          <w:p w14:paraId="20DCE7F5">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1537.33</w:t>
            </w:r>
          </w:p>
        </w:tc>
        <w:tc>
          <w:tcPr>
            <w:tcW w:w="340" w:type="pct"/>
            <w:vAlign w:val="center"/>
          </w:tcPr>
          <w:p w14:paraId="324BD7FD">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24</w:t>
            </w:r>
          </w:p>
        </w:tc>
        <w:tc>
          <w:tcPr>
            <w:tcW w:w="452" w:type="pct"/>
            <w:vAlign w:val="center"/>
          </w:tcPr>
          <w:p w14:paraId="6274A162">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637.35</w:t>
            </w:r>
          </w:p>
        </w:tc>
        <w:tc>
          <w:tcPr>
            <w:tcW w:w="452" w:type="pct"/>
            <w:vAlign w:val="center"/>
          </w:tcPr>
          <w:p w14:paraId="7DDEBA0E">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661.35</w:t>
            </w:r>
          </w:p>
        </w:tc>
        <w:tc>
          <w:tcPr>
            <w:tcW w:w="340" w:type="pct"/>
            <w:vAlign w:val="center"/>
          </w:tcPr>
          <w:p w14:paraId="19B7D0BA">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10</w:t>
            </w:r>
          </w:p>
        </w:tc>
        <w:tc>
          <w:tcPr>
            <w:tcW w:w="252" w:type="pct"/>
            <w:vAlign w:val="center"/>
          </w:tcPr>
          <w:p w14:paraId="5A946DA0">
            <w:pPr>
              <w:widowControl/>
              <w:jc w:val="center"/>
              <w:textAlignment w:val="center"/>
              <w:rPr>
                <w:rFonts w:ascii="仿宋" w:hAnsi="仿宋" w:eastAsia="仿宋" w:cs="Times New Roman"/>
                <w:color w:val="000000"/>
                <w:kern w:val="0"/>
                <w:sz w:val="15"/>
                <w:szCs w:val="15"/>
              </w:rPr>
            </w:pPr>
          </w:p>
        </w:tc>
        <w:tc>
          <w:tcPr>
            <w:tcW w:w="359" w:type="pct"/>
            <w:vAlign w:val="center"/>
          </w:tcPr>
          <w:p w14:paraId="15488A6F">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10</w:t>
            </w:r>
          </w:p>
        </w:tc>
        <w:tc>
          <w:tcPr>
            <w:tcW w:w="508" w:type="pct"/>
            <w:noWrap/>
            <w:vAlign w:val="center"/>
          </w:tcPr>
          <w:p w14:paraId="73F45103">
            <w:pPr>
              <w:widowControl/>
              <w:jc w:val="center"/>
              <w:textAlignment w:val="center"/>
              <w:rPr>
                <w:rFonts w:ascii="仿宋" w:hAnsi="仿宋" w:eastAsia="仿宋" w:cs="Times New Roman"/>
                <w:color w:val="000000"/>
                <w:kern w:val="0"/>
                <w:sz w:val="15"/>
                <w:szCs w:val="15"/>
              </w:rPr>
            </w:pPr>
            <w:r>
              <w:rPr>
                <w:rFonts w:ascii="仿宋" w:hAnsi="仿宋" w:eastAsia="仿宋" w:cs="仿宋"/>
                <w:color w:val="000000"/>
                <w:kern w:val="0"/>
                <w:sz w:val="15"/>
                <w:szCs w:val="15"/>
              </w:rPr>
              <w:t>2208.68</w:t>
            </w:r>
          </w:p>
        </w:tc>
      </w:tr>
      <w:bookmarkEnd w:id="8"/>
    </w:tbl>
    <w:p w14:paraId="38D58D12">
      <w:pPr>
        <w:ind w:right="-1457" w:rightChars="-694" w:firstLine="300" w:firstLineChars="200"/>
        <w:jc w:val="right"/>
        <w:rPr>
          <w:rFonts w:ascii="Times New Roman" w:hAnsi="Times New Roman" w:eastAsia="仿宋" w:cs="Times New Roman"/>
          <w:sz w:val="15"/>
          <w:szCs w:val="15"/>
        </w:rPr>
      </w:pPr>
    </w:p>
    <w:p w14:paraId="43DEA725">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3.</w:t>
      </w:r>
      <w:r>
        <w:rPr>
          <w:rFonts w:hint="eastAsia" w:ascii="仿宋_GB2312" w:hAnsi="Times New Roman" w:eastAsia="仿宋_GB2312" w:cs="仿宋_GB2312"/>
          <w:b/>
          <w:bCs/>
          <w:sz w:val="32"/>
          <w:szCs w:val="32"/>
        </w:rPr>
        <w:t>资金使用</w:t>
      </w:r>
    </w:p>
    <w:p w14:paraId="5F2AE89A">
      <w:pPr>
        <w:spacing w:line="560" w:lineRule="exact"/>
        <w:ind w:firstLine="640" w:firstLineChars="200"/>
        <w:rPr>
          <w:rFonts w:ascii="仿宋_GB2312" w:hAnsi="Times New Roman" w:eastAsia="仿宋_GB2312" w:cs="Times New Roman"/>
          <w:sz w:val="32"/>
          <w:szCs w:val="32"/>
        </w:rPr>
      </w:pP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年全市实际使用社区矫正和人民调解补助资金</w:t>
      </w:r>
      <w:r>
        <w:rPr>
          <w:rFonts w:ascii="仿宋_GB2312" w:hAnsi="Times New Roman" w:eastAsia="仿宋_GB2312" w:cs="仿宋_GB2312"/>
          <w:sz w:val="32"/>
          <w:szCs w:val="32"/>
        </w:rPr>
        <w:t>2,043.79</w:t>
      </w:r>
      <w:r>
        <w:rPr>
          <w:rFonts w:hint="eastAsia" w:ascii="仿宋_GB2312" w:hAnsi="Times New Roman" w:eastAsia="仿宋_GB2312" w:cs="仿宋_GB2312"/>
          <w:sz w:val="32"/>
          <w:szCs w:val="32"/>
        </w:rPr>
        <w:t>万元（当年预算资金</w:t>
      </w:r>
      <w:r>
        <w:rPr>
          <w:rFonts w:ascii="仿宋_GB2312" w:hAnsi="Times New Roman" w:eastAsia="仿宋_GB2312" w:cs="仿宋_GB2312"/>
          <w:sz w:val="32"/>
          <w:szCs w:val="32"/>
        </w:rPr>
        <w:t>1,886.29</w:t>
      </w:r>
      <w:r>
        <w:rPr>
          <w:rFonts w:hint="eastAsia" w:ascii="仿宋_GB2312" w:hAnsi="Times New Roman" w:eastAsia="仿宋_GB2312" w:cs="仿宋_GB2312"/>
          <w:sz w:val="32"/>
          <w:szCs w:val="32"/>
        </w:rPr>
        <w:t>万元，上年结转资金</w:t>
      </w:r>
      <w:r>
        <w:rPr>
          <w:rFonts w:ascii="仿宋_GB2312" w:hAnsi="Times New Roman" w:eastAsia="仿宋_GB2312" w:cs="仿宋_GB2312"/>
          <w:sz w:val="32"/>
          <w:szCs w:val="32"/>
        </w:rPr>
        <w:t>157.50</w:t>
      </w:r>
      <w:r>
        <w:rPr>
          <w:rFonts w:hint="eastAsia" w:ascii="仿宋_GB2312" w:hAnsi="Times New Roman" w:eastAsia="仿宋_GB2312" w:cs="仿宋_GB2312"/>
          <w:sz w:val="32"/>
          <w:szCs w:val="32"/>
        </w:rPr>
        <w:t>万元）。其中社区矫正补助资金使用</w:t>
      </w:r>
      <w:r>
        <w:rPr>
          <w:rFonts w:ascii="仿宋_GB2312" w:hAnsi="Times New Roman" w:eastAsia="仿宋_GB2312" w:cs="仿宋_GB2312"/>
          <w:sz w:val="32"/>
          <w:szCs w:val="32"/>
        </w:rPr>
        <w:t>1,401.39</w:t>
      </w:r>
      <w:r>
        <w:rPr>
          <w:rFonts w:hint="eastAsia" w:ascii="仿宋_GB2312" w:hAnsi="Times New Roman" w:eastAsia="仿宋_GB2312" w:cs="仿宋_GB2312"/>
          <w:sz w:val="32"/>
          <w:szCs w:val="32"/>
        </w:rPr>
        <w:t>万元（主要用于矫正社工社会工作者相关费用</w:t>
      </w:r>
      <w:r>
        <w:rPr>
          <w:rFonts w:ascii="仿宋_GB2312" w:hAnsi="Times New Roman" w:eastAsia="仿宋_GB2312" w:cs="仿宋_GB2312"/>
          <w:sz w:val="32"/>
          <w:szCs w:val="32"/>
        </w:rPr>
        <w:t xml:space="preserve"> 887.28 </w:t>
      </w:r>
      <w:r>
        <w:rPr>
          <w:rFonts w:hint="eastAsia" w:ascii="仿宋_GB2312" w:hAnsi="Times New Roman" w:eastAsia="仿宋_GB2312" w:cs="仿宋_GB2312"/>
          <w:sz w:val="32"/>
          <w:szCs w:val="32"/>
        </w:rPr>
        <w:t>万元，占比</w:t>
      </w:r>
      <w:r>
        <w:rPr>
          <w:rFonts w:ascii="仿宋_GB2312" w:hAnsi="Times New Roman" w:eastAsia="仿宋_GB2312" w:cs="仿宋_GB2312"/>
          <w:sz w:val="32"/>
          <w:szCs w:val="32"/>
        </w:rPr>
        <w:t>63.31%</w:t>
      </w:r>
      <w:r>
        <w:rPr>
          <w:rFonts w:hint="eastAsia" w:ascii="仿宋_GB2312" w:hAnsi="Times New Roman" w:eastAsia="仿宋_GB2312" w:cs="仿宋_GB2312"/>
          <w:sz w:val="32"/>
          <w:szCs w:val="32"/>
        </w:rPr>
        <w:t>，信息系统运行维护费用</w:t>
      </w:r>
      <w:r>
        <w:rPr>
          <w:rFonts w:ascii="仿宋_GB2312" w:hAnsi="Times New Roman" w:eastAsia="仿宋_GB2312" w:cs="仿宋_GB2312"/>
          <w:sz w:val="32"/>
          <w:szCs w:val="32"/>
        </w:rPr>
        <w:t xml:space="preserve"> 131.60</w:t>
      </w:r>
      <w:r>
        <w:rPr>
          <w:rFonts w:hint="eastAsia" w:ascii="仿宋_GB2312" w:hAnsi="Times New Roman" w:eastAsia="仿宋_GB2312" w:cs="仿宋_GB2312"/>
          <w:sz w:val="32"/>
          <w:szCs w:val="32"/>
        </w:rPr>
        <w:t>万元，占比</w:t>
      </w:r>
      <w:r>
        <w:rPr>
          <w:rFonts w:ascii="仿宋_GB2312" w:hAnsi="Times New Roman" w:eastAsia="仿宋_GB2312" w:cs="仿宋_GB2312"/>
          <w:sz w:val="32"/>
          <w:szCs w:val="32"/>
        </w:rPr>
        <w:t>9.39%</w:t>
      </w:r>
      <w:r>
        <w:rPr>
          <w:rFonts w:hint="eastAsia" w:ascii="仿宋_GB2312" w:hAnsi="Times New Roman" w:eastAsia="仿宋_GB2312" w:cs="仿宋_GB2312"/>
          <w:sz w:val="32"/>
          <w:szCs w:val="32"/>
        </w:rPr>
        <w:t>，其他日常工作开展</w:t>
      </w:r>
      <w:r>
        <w:rPr>
          <w:rFonts w:ascii="仿宋_GB2312" w:hAnsi="Times New Roman" w:eastAsia="仿宋_GB2312" w:cs="仿宋_GB2312"/>
          <w:sz w:val="32"/>
          <w:szCs w:val="32"/>
        </w:rPr>
        <w:t>382.51</w:t>
      </w:r>
      <w:r>
        <w:rPr>
          <w:rFonts w:hint="eastAsia" w:ascii="仿宋_GB2312" w:hAnsi="Times New Roman" w:eastAsia="仿宋_GB2312" w:cs="仿宋_GB2312"/>
          <w:sz w:val="32"/>
          <w:szCs w:val="32"/>
        </w:rPr>
        <w:t>万元，占比</w:t>
      </w:r>
      <w:r>
        <w:rPr>
          <w:rFonts w:ascii="仿宋_GB2312" w:hAnsi="Times New Roman" w:eastAsia="仿宋_GB2312" w:cs="仿宋_GB2312"/>
          <w:sz w:val="32"/>
          <w:szCs w:val="32"/>
        </w:rPr>
        <w:t>27.3%</w:t>
      </w:r>
      <w:r>
        <w:rPr>
          <w:rFonts w:hint="eastAsia" w:ascii="仿宋_GB2312" w:hAnsi="Times New Roman" w:eastAsia="仿宋_GB2312" w:cs="仿宋_GB2312"/>
          <w:sz w:val="32"/>
          <w:szCs w:val="32"/>
        </w:rPr>
        <w:t>）；公调对接补助资金使用</w:t>
      </w:r>
      <w:r>
        <w:rPr>
          <w:rFonts w:ascii="仿宋_GB2312" w:hAnsi="Times New Roman" w:eastAsia="仿宋_GB2312" w:cs="仿宋_GB2312"/>
          <w:sz w:val="32"/>
          <w:szCs w:val="32"/>
        </w:rPr>
        <w:t xml:space="preserve"> 630.51</w:t>
      </w:r>
      <w:r>
        <w:rPr>
          <w:rFonts w:hint="eastAsia" w:ascii="仿宋_GB2312" w:hAnsi="Times New Roman" w:eastAsia="仿宋_GB2312" w:cs="仿宋_GB2312"/>
          <w:sz w:val="32"/>
          <w:szCs w:val="32"/>
        </w:rPr>
        <w:t>万元（主要用于案件补贴相关支出</w:t>
      </w:r>
      <w:r>
        <w:rPr>
          <w:rFonts w:ascii="仿宋_GB2312" w:hAnsi="Times New Roman" w:eastAsia="仿宋_GB2312" w:cs="仿宋_GB2312"/>
          <w:sz w:val="32"/>
          <w:szCs w:val="32"/>
        </w:rPr>
        <w:t xml:space="preserve"> 351.98</w:t>
      </w:r>
      <w:r>
        <w:rPr>
          <w:rFonts w:hint="eastAsia" w:ascii="仿宋_GB2312" w:hAnsi="Times New Roman" w:eastAsia="仿宋_GB2312" w:cs="仿宋_GB2312"/>
          <w:sz w:val="32"/>
          <w:szCs w:val="32"/>
        </w:rPr>
        <w:t>万元，占比</w:t>
      </w:r>
      <w:r>
        <w:rPr>
          <w:rFonts w:ascii="仿宋_GB2312" w:hAnsi="Times New Roman" w:eastAsia="仿宋_GB2312" w:cs="仿宋_GB2312"/>
          <w:sz w:val="32"/>
          <w:szCs w:val="32"/>
        </w:rPr>
        <w:t>55.82%</w:t>
      </w:r>
      <w:r>
        <w:rPr>
          <w:rFonts w:hint="eastAsia" w:ascii="仿宋_GB2312" w:hAnsi="Times New Roman" w:eastAsia="仿宋_GB2312" w:cs="仿宋_GB2312"/>
          <w:sz w:val="32"/>
          <w:szCs w:val="32"/>
        </w:rPr>
        <w:t>，人员经费支出</w:t>
      </w:r>
      <w:r>
        <w:rPr>
          <w:rFonts w:ascii="仿宋_GB2312" w:hAnsi="Times New Roman" w:eastAsia="仿宋_GB2312" w:cs="仿宋_GB2312"/>
          <w:sz w:val="32"/>
          <w:szCs w:val="32"/>
        </w:rPr>
        <w:t>261.44</w:t>
      </w:r>
      <w:r>
        <w:rPr>
          <w:rFonts w:hint="eastAsia" w:ascii="仿宋_GB2312" w:hAnsi="Times New Roman" w:eastAsia="仿宋_GB2312" w:cs="仿宋_GB2312"/>
          <w:sz w:val="32"/>
          <w:szCs w:val="32"/>
        </w:rPr>
        <w:t>万元，占比</w:t>
      </w:r>
      <w:r>
        <w:rPr>
          <w:rFonts w:ascii="仿宋_GB2312" w:hAnsi="Times New Roman" w:eastAsia="仿宋_GB2312" w:cs="仿宋_GB2312"/>
          <w:sz w:val="32"/>
          <w:szCs w:val="32"/>
        </w:rPr>
        <w:t>41.46%</w:t>
      </w:r>
      <w:r>
        <w:rPr>
          <w:rFonts w:hint="eastAsia" w:ascii="仿宋_GB2312" w:hAnsi="Times New Roman" w:eastAsia="仿宋_GB2312" w:cs="仿宋_GB2312"/>
          <w:sz w:val="32"/>
          <w:szCs w:val="32"/>
        </w:rPr>
        <w:t>；日常工作开展</w:t>
      </w:r>
      <w:r>
        <w:rPr>
          <w:rFonts w:ascii="仿宋_GB2312" w:hAnsi="Times New Roman" w:eastAsia="仿宋_GB2312" w:cs="仿宋_GB2312"/>
          <w:sz w:val="32"/>
          <w:szCs w:val="32"/>
        </w:rPr>
        <w:t>17.09</w:t>
      </w:r>
      <w:r>
        <w:rPr>
          <w:rFonts w:hint="eastAsia" w:ascii="仿宋_GB2312" w:hAnsi="Times New Roman" w:eastAsia="仿宋_GB2312" w:cs="仿宋_GB2312"/>
          <w:sz w:val="32"/>
          <w:szCs w:val="32"/>
        </w:rPr>
        <w:t>万元，占比</w:t>
      </w:r>
      <w:r>
        <w:rPr>
          <w:rFonts w:ascii="仿宋_GB2312" w:hAnsi="Times New Roman" w:eastAsia="仿宋_GB2312" w:cs="仿宋_GB2312"/>
          <w:sz w:val="32"/>
          <w:szCs w:val="32"/>
        </w:rPr>
        <w:t>2.72%</w:t>
      </w:r>
      <w:r>
        <w:rPr>
          <w:rFonts w:hint="eastAsia" w:ascii="仿宋_GB2312" w:hAnsi="Times New Roman" w:eastAsia="仿宋_GB2312" w:cs="仿宋_GB2312"/>
          <w:sz w:val="32"/>
          <w:szCs w:val="32"/>
        </w:rPr>
        <w:t>）；医患纠纷补助资金使用</w:t>
      </w:r>
      <w:r>
        <w:rPr>
          <w:rFonts w:ascii="仿宋_GB2312" w:hAnsi="Times New Roman" w:eastAsia="仿宋_GB2312" w:cs="仿宋_GB2312"/>
          <w:sz w:val="32"/>
          <w:szCs w:val="32"/>
        </w:rPr>
        <w:t xml:space="preserve">11.89 </w:t>
      </w:r>
      <w:r>
        <w:rPr>
          <w:rFonts w:hint="eastAsia" w:ascii="仿宋_GB2312" w:hAnsi="Times New Roman" w:eastAsia="仿宋_GB2312" w:cs="仿宋_GB2312"/>
          <w:sz w:val="32"/>
          <w:szCs w:val="32"/>
        </w:rPr>
        <w:t>万元（均为案件补贴支出）。</w:t>
      </w:r>
    </w:p>
    <w:p w14:paraId="295CE9B7">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年全市使用当年预算资金</w:t>
      </w:r>
      <w:r>
        <w:rPr>
          <w:rFonts w:ascii="仿宋_GB2312" w:hAnsi="Times New Roman" w:eastAsia="仿宋_GB2312" w:cs="仿宋_GB2312"/>
          <w:sz w:val="32"/>
          <w:szCs w:val="32"/>
        </w:rPr>
        <w:t>1,886.29</w:t>
      </w:r>
      <w:r>
        <w:rPr>
          <w:rFonts w:hint="eastAsia" w:ascii="仿宋_GB2312" w:hAnsi="Times New Roman" w:eastAsia="仿宋_GB2312" w:cs="仿宋_GB2312"/>
          <w:sz w:val="32"/>
          <w:szCs w:val="32"/>
        </w:rPr>
        <w:t>万元，其中社区矫正补助资金</w:t>
      </w:r>
      <w:r>
        <w:rPr>
          <w:rFonts w:ascii="仿宋_GB2312" w:hAnsi="Times New Roman" w:eastAsia="仿宋_GB2312" w:cs="仿宋_GB2312"/>
          <w:sz w:val="32"/>
          <w:szCs w:val="32"/>
        </w:rPr>
        <w:t>1,251.15</w:t>
      </w:r>
      <w:r>
        <w:rPr>
          <w:rFonts w:hint="eastAsia" w:ascii="仿宋_GB2312" w:hAnsi="Times New Roman" w:eastAsia="仿宋_GB2312" w:cs="仿宋_GB2312"/>
          <w:sz w:val="32"/>
          <w:szCs w:val="32"/>
        </w:rPr>
        <w:t>万元（省级</w:t>
      </w:r>
      <w:r>
        <w:rPr>
          <w:rFonts w:ascii="仿宋_GB2312" w:hAnsi="Times New Roman" w:eastAsia="仿宋_GB2312" w:cs="仿宋_GB2312"/>
          <w:sz w:val="32"/>
          <w:szCs w:val="32"/>
        </w:rPr>
        <w:t>247.45</w:t>
      </w:r>
      <w:r>
        <w:rPr>
          <w:rFonts w:hint="eastAsia" w:ascii="仿宋_GB2312" w:hAnsi="Times New Roman" w:eastAsia="仿宋_GB2312" w:cs="仿宋_GB2312"/>
          <w:sz w:val="32"/>
          <w:szCs w:val="32"/>
        </w:rPr>
        <w:t>万元、市级</w:t>
      </w:r>
      <w:r>
        <w:rPr>
          <w:rFonts w:ascii="仿宋_GB2312" w:hAnsi="Times New Roman" w:eastAsia="仿宋_GB2312" w:cs="仿宋_GB2312"/>
          <w:sz w:val="32"/>
          <w:szCs w:val="32"/>
        </w:rPr>
        <w:t>166.95</w:t>
      </w:r>
      <w:r>
        <w:rPr>
          <w:rFonts w:hint="eastAsia" w:ascii="仿宋_GB2312" w:hAnsi="Times New Roman" w:eastAsia="仿宋_GB2312" w:cs="仿宋_GB2312"/>
          <w:sz w:val="32"/>
          <w:szCs w:val="32"/>
        </w:rPr>
        <w:t>万元、区级</w:t>
      </w:r>
      <w:r>
        <w:rPr>
          <w:rFonts w:ascii="仿宋_GB2312" w:hAnsi="Times New Roman" w:eastAsia="仿宋_GB2312" w:cs="仿宋_GB2312"/>
          <w:sz w:val="32"/>
          <w:szCs w:val="32"/>
        </w:rPr>
        <w:t>836.75</w:t>
      </w:r>
      <w:r>
        <w:rPr>
          <w:rFonts w:hint="eastAsia" w:ascii="仿宋_GB2312" w:hAnsi="Times New Roman" w:eastAsia="仿宋_GB2312" w:cs="仿宋_GB2312"/>
          <w:sz w:val="32"/>
          <w:szCs w:val="32"/>
        </w:rPr>
        <w:t>万元）；公调对接补助资金</w:t>
      </w:r>
      <w:r>
        <w:rPr>
          <w:rFonts w:ascii="仿宋_GB2312" w:hAnsi="Times New Roman" w:eastAsia="仿宋_GB2312" w:cs="仿宋_GB2312"/>
          <w:sz w:val="32"/>
          <w:szCs w:val="32"/>
        </w:rPr>
        <w:t>625.51</w:t>
      </w:r>
      <w:r>
        <w:rPr>
          <w:rFonts w:hint="eastAsia" w:ascii="仿宋_GB2312" w:hAnsi="Times New Roman" w:eastAsia="仿宋_GB2312" w:cs="仿宋_GB2312"/>
          <w:sz w:val="32"/>
          <w:szCs w:val="32"/>
        </w:rPr>
        <w:t>万元，（市级</w:t>
      </w:r>
      <w:r>
        <w:rPr>
          <w:rFonts w:ascii="仿宋_GB2312" w:hAnsi="Times New Roman" w:eastAsia="仿宋_GB2312" w:cs="仿宋_GB2312"/>
          <w:sz w:val="32"/>
          <w:szCs w:val="32"/>
        </w:rPr>
        <w:t>17.69</w:t>
      </w:r>
      <w:r>
        <w:rPr>
          <w:rFonts w:hint="eastAsia" w:ascii="仿宋_GB2312" w:hAnsi="Times New Roman" w:eastAsia="仿宋_GB2312" w:cs="仿宋_GB2312"/>
          <w:sz w:val="32"/>
          <w:szCs w:val="32"/>
        </w:rPr>
        <w:t>万元、区级</w:t>
      </w:r>
      <w:r>
        <w:rPr>
          <w:rFonts w:ascii="仿宋_GB2312" w:hAnsi="Times New Roman" w:eastAsia="仿宋_GB2312" w:cs="仿宋_GB2312"/>
          <w:sz w:val="32"/>
          <w:szCs w:val="32"/>
        </w:rPr>
        <w:t>607.82</w:t>
      </w:r>
      <w:r>
        <w:rPr>
          <w:rFonts w:hint="eastAsia" w:ascii="仿宋_GB2312" w:hAnsi="Times New Roman" w:eastAsia="仿宋_GB2312" w:cs="仿宋_GB2312"/>
          <w:sz w:val="32"/>
          <w:szCs w:val="32"/>
        </w:rPr>
        <w:t>万元）；医患纠纷调解补助市级资金支出</w:t>
      </w:r>
      <w:r>
        <w:rPr>
          <w:rFonts w:ascii="仿宋_GB2312" w:hAnsi="Times New Roman" w:eastAsia="仿宋_GB2312" w:cs="仿宋_GB2312"/>
          <w:sz w:val="32"/>
          <w:szCs w:val="32"/>
        </w:rPr>
        <w:t>9.63</w:t>
      </w:r>
      <w:r>
        <w:rPr>
          <w:rFonts w:hint="eastAsia" w:ascii="仿宋_GB2312" w:hAnsi="Times New Roman" w:eastAsia="仿宋_GB2312" w:cs="仿宋_GB2312"/>
          <w:sz w:val="32"/>
          <w:szCs w:val="32"/>
        </w:rPr>
        <w:t>万元。</w:t>
      </w:r>
    </w:p>
    <w:p w14:paraId="1D38C5A8">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年全市使用上年结转资金</w:t>
      </w:r>
      <w:r>
        <w:rPr>
          <w:rFonts w:ascii="仿宋_GB2312" w:hAnsi="Times New Roman" w:eastAsia="仿宋_GB2312" w:cs="仿宋_GB2312"/>
          <w:sz w:val="32"/>
          <w:szCs w:val="32"/>
        </w:rPr>
        <w:t>157.50</w:t>
      </w:r>
      <w:r>
        <w:rPr>
          <w:rFonts w:hint="eastAsia" w:ascii="仿宋_GB2312" w:hAnsi="Times New Roman" w:eastAsia="仿宋_GB2312" w:cs="仿宋_GB2312"/>
          <w:sz w:val="32"/>
          <w:szCs w:val="32"/>
        </w:rPr>
        <w:t>万元，其中社区矫正补助资金支出</w:t>
      </w:r>
      <w:r>
        <w:rPr>
          <w:rFonts w:ascii="仿宋_GB2312" w:hAnsi="Times New Roman" w:eastAsia="仿宋_GB2312" w:cs="仿宋_GB2312"/>
          <w:sz w:val="32"/>
          <w:szCs w:val="32"/>
        </w:rPr>
        <w:t>150.24</w:t>
      </w:r>
      <w:r>
        <w:rPr>
          <w:rFonts w:hint="eastAsia" w:ascii="仿宋_GB2312" w:hAnsi="Times New Roman" w:eastAsia="仿宋_GB2312" w:cs="仿宋_GB2312"/>
          <w:sz w:val="32"/>
          <w:szCs w:val="32"/>
        </w:rPr>
        <w:t>万元（省级</w:t>
      </w:r>
      <w:r>
        <w:rPr>
          <w:rFonts w:ascii="仿宋_GB2312" w:hAnsi="Times New Roman" w:eastAsia="仿宋_GB2312" w:cs="仿宋_GB2312"/>
          <w:sz w:val="32"/>
          <w:szCs w:val="32"/>
        </w:rPr>
        <w:t>69.12</w:t>
      </w:r>
      <w:r>
        <w:rPr>
          <w:rFonts w:hint="eastAsia" w:ascii="仿宋_GB2312" w:hAnsi="Times New Roman" w:eastAsia="仿宋_GB2312" w:cs="仿宋_GB2312"/>
          <w:sz w:val="32"/>
          <w:szCs w:val="32"/>
        </w:rPr>
        <w:t>万元、市级</w:t>
      </w:r>
      <w:r>
        <w:rPr>
          <w:rFonts w:ascii="仿宋_GB2312" w:hAnsi="Times New Roman" w:eastAsia="仿宋_GB2312" w:cs="仿宋_GB2312"/>
          <w:sz w:val="32"/>
          <w:szCs w:val="32"/>
        </w:rPr>
        <w:t>81.13</w:t>
      </w:r>
      <w:r>
        <w:rPr>
          <w:rFonts w:hint="eastAsia" w:ascii="仿宋_GB2312" w:hAnsi="Times New Roman" w:eastAsia="仿宋_GB2312" w:cs="仿宋_GB2312"/>
          <w:sz w:val="32"/>
          <w:szCs w:val="32"/>
        </w:rPr>
        <w:t>万元）；公调对接补助市级资金支出</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万元；医患纠纷调解补助市级资金支出</w:t>
      </w:r>
      <w:r>
        <w:rPr>
          <w:rFonts w:ascii="仿宋_GB2312" w:hAnsi="Times New Roman" w:eastAsia="仿宋_GB2312" w:cs="仿宋_GB2312"/>
          <w:sz w:val="32"/>
          <w:szCs w:val="32"/>
        </w:rPr>
        <w:t>2.26</w:t>
      </w:r>
      <w:r>
        <w:rPr>
          <w:rFonts w:hint="eastAsia" w:ascii="仿宋_GB2312" w:hAnsi="Times New Roman" w:eastAsia="仿宋_GB2312" w:cs="仿宋_GB2312"/>
          <w:sz w:val="32"/>
          <w:szCs w:val="32"/>
        </w:rPr>
        <w:t>万元。</w:t>
      </w:r>
    </w:p>
    <w:p w14:paraId="48D3F4C0">
      <w:pPr>
        <w:spacing w:line="560" w:lineRule="exact"/>
        <w:ind w:firstLine="640" w:firstLineChars="200"/>
        <w:rPr>
          <w:rFonts w:ascii="Times New Roman" w:hAnsi="Times New Roman" w:eastAsia="仿宋" w:cs="Times New Roman"/>
          <w:sz w:val="32"/>
          <w:szCs w:val="32"/>
        </w:rPr>
        <w:sectPr>
          <w:footerReference r:id="rId4" w:type="default"/>
          <w:pgSz w:w="11906" w:h="16838"/>
          <w:pgMar w:top="1588" w:right="1588" w:bottom="1588" w:left="1588" w:header="851" w:footer="992" w:gutter="0"/>
          <w:pgNumType w:start="1"/>
          <w:cols w:space="425" w:num="1"/>
          <w:docGrid w:type="lines" w:linePitch="312" w:charSpace="0"/>
        </w:sectPr>
      </w:pPr>
      <w:r>
        <w:rPr>
          <w:rFonts w:hint="eastAsia" w:ascii="仿宋_GB2312" w:hAnsi="Times New Roman" w:eastAsia="仿宋_GB2312" w:cs="仿宋_GB2312"/>
          <w:sz w:val="32"/>
          <w:szCs w:val="32"/>
        </w:rPr>
        <w:t>具体明细如下表：</w:t>
      </w:r>
    </w:p>
    <w:tbl>
      <w:tblPr>
        <w:tblStyle w:val="14"/>
        <w:tblpPr w:leftFromText="180" w:rightFromText="180" w:horzAnchor="margin" w:tblpXSpec="center" w:tblpY="780"/>
        <w:tblW w:w="15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525"/>
        <w:gridCol w:w="525"/>
        <w:gridCol w:w="525"/>
        <w:gridCol w:w="630"/>
        <w:gridCol w:w="510"/>
        <w:gridCol w:w="540"/>
        <w:gridCol w:w="540"/>
        <w:gridCol w:w="540"/>
        <w:gridCol w:w="540"/>
        <w:gridCol w:w="540"/>
        <w:gridCol w:w="675"/>
        <w:gridCol w:w="525"/>
        <w:gridCol w:w="525"/>
        <w:gridCol w:w="525"/>
        <w:gridCol w:w="630"/>
        <w:gridCol w:w="525"/>
        <w:gridCol w:w="525"/>
        <w:gridCol w:w="525"/>
        <w:gridCol w:w="525"/>
        <w:gridCol w:w="413"/>
        <w:gridCol w:w="539"/>
        <w:gridCol w:w="623"/>
        <w:gridCol w:w="525"/>
        <w:gridCol w:w="469"/>
        <w:gridCol w:w="539"/>
        <w:gridCol w:w="672"/>
        <w:gridCol w:w="709"/>
        <w:gridCol w:w="551"/>
      </w:tblGrid>
      <w:tr w14:paraId="16C9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25" w:type="dxa"/>
            <w:vMerge w:val="restart"/>
            <w:vAlign w:val="center"/>
          </w:tcPr>
          <w:p w14:paraId="0075A1A8">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各区</w:t>
            </w:r>
          </w:p>
        </w:tc>
        <w:tc>
          <w:tcPr>
            <w:tcW w:w="6090" w:type="dxa"/>
            <w:gridSpan w:val="11"/>
            <w:noWrap/>
            <w:vAlign w:val="center"/>
          </w:tcPr>
          <w:p w14:paraId="0878C9F7">
            <w:pPr>
              <w:widowControl/>
              <w:jc w:val="center"/>
              <w:textAlignment w:val="center"/>
              <w:rPr>
                <w:rFonts w:ascii="宋体" w:cs="Times New Roman"/>
                <w:b/>
                <w:bCs/>
                <w:color w:val="000000"/>
                <w:sz w:val="11"/>
                <w:szCs w:val="11"/>
              </w:rPr>
            </w:pPr>
            <w:r>
              <w:rPr>
                <w:rFonts w:hint="eastAsia" w:ascii="宋体" w:hAnsi="宋体" w:cs="宋体"/>
                <w:b/>
                <w:bCs/>
                <w:color w:val="000000"/>
                <w:kern w:val="0"/>
                <w:sz w:val="11"/>
                <w:szCs w:val="11"/>
              </w:rPr>
              <w:t>实际支出</w:t>
            </w:r>
          </w:p>
        </w:tc>
        <w:tc>
          <w:tcPr>
            <w:tcW w:w="5880" w:type="dxa"/>
            <w:gridSpan w:val="11"/>
            <w:noWrap/>
            <w:vAlign w:val="center"/>
          </w:tcPr>
          <w:p w14:paraId="2768D072">
            <w:pPr>
              <w:widowControl/>
              <w:jc w:val="center"/>
              <w:textAlignment w:val="center"/>
              <w:rPr>
                <w:rFonts w:ascii="宋体" w:cs="Times New Roman"/>
                <w:b/>
                <w:bCs/>
                <w:color w:val="000000"/>
                <w:sz w:val="11"/>
                <w:szCs w:val="11"/>
              </w:rPr>
            </w:pPr>
            <w:r>
              <w:rPr>
                <w:rFonts w:hint="eastAsia" w:ascii="宋体" w:hAnsi="宋体" w:cs="宋体"/>
                <w:b/>
                <w:bCs/>
                <w:color w:val="000000"/>
                <w:kern w:val="0"/>
                <w:sz w:val="11"/>
                <w:szCs w:val="11"/>
              </w:rPr>
              <w:t>实际支出（使用当年预算）</w:t>
            </w:r>
          </w:p>
        </w:tc>
        <w:tc>
          <w:tcPr>
            <w:tcW w:w="3465" w:type="dxa"/>
            <w:gridSpan w:val="6"/>
            <w:noWrap/>
            <w:vAlign w:val="center"/>
          </w:tcPr>
          <w:p w14:paraId="45DCC667">
            <w:pPr>
              <w:widowControl/>
              <w:jc w:val="center"/>
              <w:textAlignment w:val="center"/>
              <w:rPr>
                <w:rFonts w:ascii="宋体" w:cs="Times New Roman"/>
                <w:b/>
                <w:bCs/>
                <w:color w:val="000000"/>
                <w:sz w:val="11"/>
                <w:szCs w:val="11"/>
              </w:rPr>
            </w:pPr>
            <w:r>
              <w:rPr>
                <w:rFonts w:hint="eastAsia" w:ascii="宋体" w:hAnsi="宋体" w:cs="宋体"/>
                <w:b/>
                <w:bCs/>
                <w:color w:val="000000"/>
                <w:kern w:val="0"/>
                <w:sz w:val="11"/>
                <w:szCs w:val="11"/>
              </w:rPr>
              <w:t>实际支出（使用以前年度结余资金）</w:t>
            </w:r>
          </w:p>
        </w:tc>
      </w:tr>
      <w:tr w14:paraId="6BBD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25" w:type="dxa"/>
            <w:vMerge w:val="continue"/>
            <w:vAlign w:val="center"/>
          </w:tcPr>
          <w:p w14:paraId="284449B0">
            <w:pPr>
              <w:jc w:val="center"/>
              <w:rPr>
                <w:rFonts w:ascii="仿宋" w:hAnsi="仿宋" w:eastAsia="仿宋" w:cs="Times New Roman"/>
                <w:b/>
                <w:bCs/>
                <w:color w:val="000000"/>
                <w:sz w:val="11"/>
                <w:szCs w:val="11"/>
              </w:rPr>
            </w:pPr>
          </w:p>
        </w:tc>
        <w:tc>
          <w:tcPr>
            <w:tcW w:w="2205" w:type="dxa"/>
            <w:gridSpan w:val="4"/>
            <w:vMerge w:val="restart"/>
            <w:vAlign w:val="center"/>
          </w:tcPr>
          <w:p w14:paraId="752FDD0A">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社区矫正</w:t>
            </w:r>
          </w:p>
        </w:tc>
        <w:tc>
          <w:tcPr>
            <w:tcW w:w="3210" w:type="dxa"/>
            <w:gridSpan w:val="6"/>
            <w:vAlign w:val="center"/>
          </w:tcPr>
          <w:p w14:paraId="4AC4CB7A">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人民调解</w:t>
            </w:r>
          </w:p>
        </w:tc>
        <w:tc>
          <w:tcPr>
            <w:tcW w:w="675" w:type="dxa"/>
            <w:vMerge w:val="restart"/>
            <w:noWrap/>
            <w:vAlign w:val="center"/>
          </w:tcPr>
          <w:p w14:paraId="3A3E5530">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合计</w:t>
            </w:r>
          </w:p>
        </w:tc>
        <w:tc>
          <w:tcPr>
            <w:tcW w:w="2205" w:type="dxa"/>
            <w:gridSpan w:val="4"/>
            <w:vMerge w:val="restart"/>
            <w:vAlign w:val="center"/>
          </w:tcPr>
          <w:p w14:paraId="201B2BFF">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社区矫正</w:t>
            </w:r>
          </w:p>
        </w:tc>
        <w:tc>
          <w:tcPr>
            <w:tcW w:w="3052" w:type="dxa"/>
            <w:gridSpan w:val="6"/>
            <w:vAlign w:val="center"/>
          </w:tcPr>
          <w:p w14:paraId="24F44E10">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人民调解</w:t>
            </w:r>
          </w:p>
        </w:tc>
        <w:tc>
          <w:tcPr>
            <w:tcW w:w="623" w:type="dxa"/>
            <w:vMerge w:val="restart"/>
            <w:noWrap/>
            <w:vAlign w:val="center"/>
          </w:tcPr>
          <w:p w14:paraId="61CC2C14">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合计</w:t>
            </w:r>
          </w:p>
        </w:tc>
        <w:tc>
          <w:tcPr>
            <w:tcW w:w="1533" w:type="dxa"/>
            <w:gridSpan w:val="3"/>
            <w:vMerge w:val="restart"/>
            <w:vAlign w:val="center"/>
          </w:tcPr>
          <w:p w14:paraId="3B072558">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社区矫正</w:t>
            </w:r>
          </w:p>
        </w:tc>
        <w:tc>
          <w:tcPr>
            <w:tcW w:w="1381" w:type="dxa"/>
            <w:gridSpan w:val="2"/>
            <w:vAlign w:val="center"/>
          </w:tcPr>
          <w:p w14:paraId="5BBBE111">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人民调解</w:t>
            </w:r>
          </w:p>
        </w:tc>
        <w:tc>
          <w:tcPr>
            <w:tcW w:w="551" w:type="dxa"/>
            <w:vMerge w:val="restart"/>
            <w:noWrap/>
            <w:vAlign w:val="center"/>
          </w:tcPr>
          <w:p w14:paraId="5EE01A30">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合计</w:t>
            </w:r>
          </w:p>
        </w:tc>
      </w:tr>
      <w:tr w14:paraId="6A92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525" w:type="dxa"/>
            <w:vMerge w:val="continue"/>
            <w:vAlign w:val="center"/>
          </w:tcPr>
          <w:p w14:paraId="3D196E68">
            <w:pPr>
              <w:jc w:val="center"/>
              <w:rPr>
                <w:rFonts w:ascii="仿宋" w:hAnsi="仿宋" w:eastAsia="仿宋" w:cs="Times New Roman"/>
                <w:b/>
                <w:bCs/>
                <w:color w:val="000000"/>
                <w:sz w:val="11"/>
                <w:szCs w:val="11"/>
              </w:rPr>
            </w:pPr>
          </w:p>
        </w:tc>
        <w:tc>
          <w:tcPr>
            <w:tcW w:w="2205" w:type="dxa"/>
            <w:gridSpan w:val="4"/>
            <w:vMerge w:val="continue"/>
            <w:vAlign w:val="center"/>
          </w:tcPr>
          <w:p w14:paraId="5E11E654">
            <w:pPr>
              <w:jc w:val="center"/>
              <w:rPr>
                <w:rFonts w:ascii="仿宋" w:hAnsi="仿宋" w:eastAsia="仿宋" w:cs="Times New Roman"/>
                <w:b/>
                <w:bCs/>
                <w:color w:val="000000"/>
                <w:sz w:val="11"/>
                <w:szCs w:val="11"/>
              </w:rPr>
            </w:pPr>
          </w:p>
        </w:tc>
        <w:tc>
          <w:tcPr>
            <w:tcW w:w="1590" w:type="dxa"/>
            <w:gridSpan w:val="3"/>
            <w:vAlign w:val="center"/>
          </w:tcPr>
          <w:p w14:paraId="0FAE8DBF">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公调对接</w:t>
            </w:r>
          </w:p>
        </w:tc>
        <w:tc>
          <w:tcPr>
            <w:tcW w:w="1620" w:type="dxa"/>
            <w:gridSpan w:val="3"/>
            <w:vAlign w:val="center"/>
          </w:tcPr>
          <w:p w14:paraId="5EF64B08">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医患调解</w:t>
            </w:r>
          </w:p>
        </w:tc>
        <w:tc>
          <w:tcPr>
            <w:tcW w:w="675" w:type="dxa"/>
            <w:vMerge w:val="continue"/>
            <w:noWrap/>
            <w:vAlign w:val="center"/>
          </w:tcPr>
          <w:p w14:paraId="69C8ACA3">
            <w:pPr>
              <w:jc w:val="center"/>
              <w:rPr>
                <w:rFonts w:ascii="仿宋" w:hAnsi="仿宋" w:eastAsia="仿宋" w:cs="Times New Roman"/>
                <w:b/>
                <w:bCs/>
                <w:color w:val="000000"/>
                <w:sz w:val="11"/>
                <w:szCs w:val="11"/>
              </w:rPr>
            </w:pPr>
          </w:p>
        </w:tc>
        <w:tc>
          <w:tcPr>
            <w:tcW w:w="2205" w:type="dxa"/>
            <w:gridSpan w:val="4"/>
            <w:vMerge w:val="continue"/>
            <w:vAlign w:val="center"/>
          </w:tcPr>
          <w:p w14:paraId="246955A0">
            <w:pPr>
              <w:jc w:val="center"/>
              <w:rPr>
                <w:rFonts w:ascii="仿宋" w:hAnsi="仿宋" w:eastAsia="仿宋" w:cs="Times New Roman"/>
                <w:b/>
                <w:bCs/>
                <w:color w:val="000000"/>
                <w:sz w:val="11"/>
                <w:szCs w:val="11"/>
              </w:rPr>
            </w:pPr>
          </w:p>
        </w:tc>
        <w:tc>
          <w:tcPr>
            <w:tcW w:w="1575" w:type="dxa"/>
            <w:gridSpan w:val="3"/>
            <w:vAlign w:val="center"/>
          </w:tcPr>
          <w:p w14:paraId="6A3C7E4C">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公调对接</w:t>
            </w:r>
          </w:p>
        </w:tc>
        <w:tc>
          <w:tcPr>
            <w:tcW w:w="1477" w:type="dxa"/>
            <w:gridSpan w:val="3"/>
            <w:vAlign w:val="center"/>
          </w:tcPr>
          <w:p w14:paraId="5093955C">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医患调解</w:t>
            </w:r>
          </w:p>
        </w:tc>
        <w:tc>
          <w:tcPr>
            <w:tcW w:w="623" w:type="dxa"/>
            <w:vMerge w:val="continue"/>
            <w:noWrap/>
            <w:vAlign w:val="center"/>
          </w:tcPr>
          <w:p w14:paraId="0A7958E7">
            <w:pPr>
              <w:jc w:val="center"/>
              <w:rPr>
                <w:rFonts w:ascii="仿宋" w:hAnsi="仿宋" w:eastAsia="仿宋" w:cs="Times New Roman"/>
                <w:b/>
                <w:bCs/>
                <w:color w:val="000000"/>
                <w:sz w:val="11"/>
                <w:szCs w:val="11"/>
              </w:rPr>
            </w:pPr>
          </w:p>
        </w:tc>
        <w:tc>
          <w:tcPr>
            <w:tcW w:w="1533" w:type="dxa"/>
            <w:gridSpan w:val="3"/>
            <w:vMerge w:val="continue"/>
            <w:vAlign w:val="center"/>
          </w:tcPr>
          <w:p w14:paraId="3B2AAB2D">
            <w:pPr>
              <w:jc w:val="center"/>
              <w:rPr>
                <w:rFonts w:ascii="仿宋" w:hAnsi="仿宋" w:eastAsia="仿宋" w:cs="Times New Roman"/>
                <w:b/>
                <w:bCs/>
                <w:color w:val="000000"/>
                <w:sz w:val="11"/>
                <w:szCs w:val="11"/>
              </w:rPr>
            </w:pPr>
          </w:p>
        </w:tc>
        <w:tc>
          <w:tcPr>
            <w:tcW w:w="672" w:type="dxa"/>
            <w:vAlign w:val="center"/>
          </w:tcPr>
          <w:p w14:paraId="3B79064B">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公调对接</w:t>
            </w:r>
          </w:p>
        </w:tc>
        <w:tc>
          <w:tcPr>
            <w:tcW w:w="709" w:type="dxa"/>
            <w:vAlign w:val="center"/>
          </w:tcPr>
          <w:p w14:paraId="62C9C1E5">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医患调解</w:t>
            </w:r>
          </w:p>
        </w:tc>
        <w:tc>
          <w:tcPr>
            <w:tcW w:w="551" w:type="dxa"/>
            <w:vMerge w:val="continue"/>
            <w:noWrap/>
            <w:vAlign w:val="center"/>
          </w:tcPr>
          <w:p w14:paraId="21DF7C12">
            <w:pPr>
              <w:jc w:val="center"/>
              <w:rPr>
                <w:rFonts w:ascii="仿宋" w:hAnsi="仿宋" w:eastAsia="仿宋" w:cs="Times New Roman"/>
                <w:b/>
                <w:bCs/>
                <w:color w:val="000000"/>
                <w:sz w:val="11"/>
                <w:szCs w:val="11"/>
              </w:rPr>
            </w:pPr>
          </w:p>
        </w:tc>
      </w:tr>
      <w:tr w14:paraId="7D4C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525" w:type="dxa"/>
            <w:vMerge w:val="continue"/>
            <w:vAlign w:val="center"/>
          </w:tcPr>
          <w:p w14:paraId="5D3E672E">
            <w:pPr>
              <w:jc w:val="center"/>
              <w:rPr>
                <w:rFonts w:ascii="仿宋" w:hAnsi="仿宋" w:eastAsia="仿宋" w:cs="Times New Roman"/>
                <w:b/>
                <w:bCs/>
                <w:color w:val="000000"/>
                <w:sz w:val="11"/>
                <w:szCs w:val="11"/>
              </w:rPr>
            </w:pPr>
          </w:p>
        </w:tc>
        <w:tc>
          <w:tcPr>
            <w:tcW w:w="525" w:type="dxa"/>
            <w:vAlign w:val="center"/>
          </w:tcPr>
          <w:p w14:paraId="24D1629A">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省</w:t>
            </w:r>
          </w:p>
        </w:tc>
        <w:tc>
          <w:tcPr>
            <w:tcW w:w="525" w:type="dxa"/>
            <w:vAlign w:val="center"/>
          </w:tcPr>
          <w:p w14:paraId="3CEE876A">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525" w:type="dxa"/>
            <w:vAlign w:val="center"/>
          </w:tcPr>
          <w:p w14:paraId="1EC42A4C">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区</w:t>
            </w:r>
          </w:p>
        </w:tc>
        <w:tc>
          <w:tcPr>
            <w:tcW w:w="630" w:type="dxa"/>
            <w:vAlign w:val="center"/>
          </w:tcPr>
          <w:p w14:paraId="0631E89B">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小计</w:t>
            </w:r>
          </w:p>
        </w:tc>
        <w:tc>
          <w:tcPr>
            <w:tcW w:w="510" w:type="dxa"/>
            <w:vAlign w:val="center"/>
          </w:tcPr>
          <w:p w14:paraId="45597CD6">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540" w:type="dxa"/>
            <w:vAlign w:val="center"/>
          </w:tcPr>
          <w:p w14:paraId="6A613C7D">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区</w:t>
            </w:r>
          </w:p>
        </w:tc>
        <w:tc>
          <w:tcPr>
            <w:tcW w:w="540" w:type="dxa"/>
            <w:vAlign w:val="center"/>
          </w:tcPr>
          <w:p w14:paraId="4852BE2E">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小计</w:t>
            </w:r>
          </w:p>
        </w:tc>
        <w:tc>
          <w:tcPr>
            <w:tcW w:w="540" w:type="dxa"/>
            <w:vAlign w:val="center"/>
          </w:tcPr>
          <w:p w14:paraId="06C62631">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540" w:type="dxa"/>
            <w:vAlign w:val="center"/>
          </w:tcPr>
          <w:p w14:paraId="00C21CFE">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区</w:t>
            </w:r>
          </w:p>
        </w:tc>
        <w:tc>
          <w:tcPr>
            <w:tcW w:w="540" w:type="dxa"/>
            <w:vAlign w:val="center"/>
          </w:tcPr>
          <w:p w14:paraId="26157689">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小计</w:t>
            </w:r>
          </w:p>
        </w:tc>
        <w:tc>
          <w:tcPr>
            <w:tcW w:w="675" w:type="dxa"/>
            <w:vMerge w:val="continue"/>
            <w:noWrap/>
            <w:vAlign w:val="center"/>
          </w:tcPr>
          <w:p w14:paraId="58D60DE6">
            <w:pPr>
              <w:jc w:val="center"/>
              <w:rPr>
                <w:rFonts w:ascii="仿宋" w:hAnsi="仿宋" w:eastAsia="仿宋" w:cs="Times New Roman"/>
                <w:b/>
                <w:bCs/>
                <w:color w:val="000000"/>
                <w:sz w:val="11"/>
                <w:szCs w:val="11"/>
              </w:rPr>
            </w:pPr>
          </w:p>
        </w:tc>
        <w:tc>
          <w:tcPr>
            <w:tcW w:w="525" w:type="dxa"/>
            <w:vAlign w:val="center"/>
          </w:tcPr>
          <w:p w14:paraId="27E913B4">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省</w:t>
            </w:r>
          </w:p>
        </w:tc>
        <w:tc>
          <w:tcPr>
            <w:tcW w:w="525" w:type="dxa"/>
            <w:vAlign w:val="center"/>
          </w:tcPr>
          <w:p w14:paraId="023AD5D4">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525" w:type="dxa"/>
            <w:vAlign w:val="center"/>
          </w:tcPr>
          <w:p w14:paraId="7CE7A777">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区</w:t>
            </w:r>
          </w:p>
        </w:tc>
        <w:tc>
          <w:tcPr>
            <w:tcW w:w="630" w:type="dxa"/>
            <w:vAlign w:val="center"/>
          </w:tcPr>
          <w:p w14:paraId="6C471DF1">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小计</w:t>
            </w:r>
          </w:p>
        </w:tc>
        <w:tc>
          <w:tcPr>
            <w:tcW w:w="525" w:type="dxa"/>
            <w:vAlign w:val="center"/>
          </w:tcPr>
          <w:p w14:paraId="41147183">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525" w:type="dxa"/>
            <w:vAlign w:val="center"/>
          </w:tcPr>
          <w:p w14:paraId="463C5ADD">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区</w:t>
            </w:r>
          </w:p>
        </w:tc>
        <w:tc>
          <w:tcPr>
            <w:tcW w:w="525" w:type="dxa"/>
            <w:vAlign w:val="center"/>
          </w:tcPr>
          <w:p w14:paraId="3A9C469D">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小计</w:t>
            </w:r>
          </w:p>
        </w:tc>
        <w:tc>
          <w:tcPr>
            <w:tcW w:w="525" w:type="dxa"/>
            <w:vAlign w:val="center"/>
          </w:tcPr>
          <w:p w14:paraId="1D71408B">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413" w:type="dxa"/>
            <w:vAlign w:val="center"/>
          </w:tcPr>
          <w:p w14:paraId="31073056">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区</w:t>
            </w:r>
          </w:p>
        </w:tc>
        <w:tc>
          <w:tcPr>
            <w:tcW w:w="539" w:type="dxa"/>
            <w:vAlign w:val="center"/>
          </w:tcPr>
          <w:p w14:paraId="084B85A7">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小计</w:t>
            </w:r>
          </w:p>
        </w:tc>
        <w:tc>
          <w:tcPr>
            <w:tcW w:w="623" w:type="dxa"/>
            <w:vMerge w:val="continue"/>
            <w:noWrap/>
            <w:vAlign w:val="center"/>
          </w:tcPr>
          <w:p w14:paraId="34B23B2A">
            <w:pPr>
              <w:jc w:val="center"/>
              <w:rPr>
                <w:rFonts w:ascii="仿宋" w:hAnsi="仿宋" w:eastAsia="仿宋" w:cs="Times New Roman"/>
                <w:b/>
                <w:bCs/>
                <w:color w:val="000000"/>
                <w:sz w:val="11"/>
                <w:szCs w:val="11"/>
              </w:rPr>
            </w:pPr>
          </w:p>
        </w:tc>
        <w:tc>
          <w:tcPr>
            <w:tcW w:w="525" w:type="dxa"/>
            <w:vAlign w:val="center"/>
          </w:tcPr>
          <w:p w14:paraId="02897C5B">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省</w:t>
            </w:r>
          </w:p>
        </w:tc>
        <w:tc>
          <w:tcPr>
            <w:tcW w:w="469" w:type="dxa"/>
            <w:vAlign w:val="center"/>
          </w:tcPr>
          <w:p w14:paraId="47CDE023">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539" w:type="dxa"/>
            <w:vAlign w:val="center"/>
          </w:tcPr>
          <w:p w14:paraId="62A686A8">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小计</w:t>
            </w:r>
          </w:p>
        </w:tc>
        <w:tc>
          <w:tcPr>
            <w:tcW w:w="672" w:type="dxa"/>
            <w:vAlign w:val="center"/>
          </w:tcPr>
          <w:p w14:paraId="3F09CADE">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709" w:type="dxa"/>
            <w:vAlign w:val="center"/>
          </w:tcPr>
          <w:p w14:paraId="1ED570BD">
            <w:pPr>
              <w:widowControl/>
              <w:jc w:val="center"/>
              <w:textAlignment w:val="center"/>
              <w:rPr>
                <w:rFonts w:ascii="仿宋" w:hAnsi="仿宋" w:eastAsia="仿宋" w:cs="Times New Roman"/>
                <w:b/>
                <w:bCs/>
                <w:color w:val="000000"/>
                <w:sz w:val="11"/>
                <w:szCs w:val="11"/>
              </w:rPr>
            </w:pPr>
            <w:r>
              <w:rPr>
                <w:rFonts w:hint="eastAsia" w:ascii="仿宋" w:hAnsi="仿宋" w:eastAsia="仿宋" w:cs="仿宋"/>
                <w:b/>
                <w:bCs/>
                <w:color w:val="000000"/>
                <w:kern w:val="0"/>
                <w:sz w:val="11"/>
                <w:szCs w:val="11"/>
              </w:rPr>
              <w:t>市</w:t>
            </w:r>
          </w:p>
        </w:tc>
        <w:tc>
          <w:tcPr>
            <w:tcW w:w="551" w:type="dxa"/>
            <w:vMerge w:val="continue"/>
            <w:noWrap/>
            <w:vAlign w:val="center"/>
          </w:tcPr>
          <w:p w14:paraId="4B2973C3">
            <w:pPr>
              <w:jc w:val="center"/>
              <w:rPr>
                <w:rFonts w:ascii="仿宋" w:hAnsi="仿宋" w:eastAsia="仿宋" w:cs="Times New Roman"/>
                <w:b/>
                <w:bCs/>
                <w:color w:val="000000"/>
                <w:sz w:val="11"/>
                <w:szCs w:val="11"/>
              </w:rPr>
            </w:pPr>
          </w:p>
        </w:tc>
      </w:tr>
      <w:tr w14:paraId="2EE3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70E80E69">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玄武</w:t>
            </w:r>
          </w:p>
        </w:tc>
        <w:tc>
          <w:tcPr>
            <w:tcW w:w="525" w:type="dxa"/>
            <w:noWrap/>
            <w:vAlign w:val="center"/>
          </w:tcPr>
          <w:p w14:paraId="420E5FF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15.57</w:t>
            </w:r>
          </w:p>
        </w:tc>
        <w:tc>
          <w:tcPr>
            <w:tcW w:w="525" w:type="dxa"/>
            <w:noWrap/>
            <w:vAlign w:val="center"/>
          </w:tcPr>
          <w:p w14:paraId="4445708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25.06</w:t>
            </w:r>
          </w:p>
        </w:tc>
        <w:tc>
          <w:tcPr>
            <w:tcW w:w="525" w:type="dxa"/>
            <w:noWrap/>
            <w:vAlign w:val="center"/>
          </w:tcPr>
          <w:p w14:paraId="0D064D7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61.00</w:t>
            </w:r>
          </w:p>
        </w:tc>
        <w:tc>
          <w:tcPr>
            <w:tcW w:w="630" w:type="dxa"/>
            <w:vAlign w:val="center"/>
          </w:tcPr>
          <w:p w14:paraId="0CDB4D7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101.63</w:t>
            </w:r>
          </w:p>
        </w:tc>
        <w:tc>
          <w:tcPr>
            <w:tcW w:w="510" w:type="dxa"/>
            <w:noWrap/>
            <w:vAlign w:val="center"/>
          </w:tcPr>
          <w:p w14:paraId="0FAFF30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40" w:type="dxa"/>
            <w:noWrap/>
            <w:vAlign w:val="center"/>
          </w:tcPr>
          <w:p w14:paraId="1CE8B7E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24.35</w:t>
            </w:r>
          </w:p>
        </w:tc>
        <w:tc>
          <w:tcPr>
            <w:tcW w:w="540" w:type="dxa"/>
            <w:vAlign w:val="center"/>
          </w:tcPr>
          <w:p w14:paraId="5D652AE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26.35</w:t>
            </w:r>
          </w:p>
        </w:tc>
        <w:tc>
          <w:tcPr>
            <w:tcW w:w="540" w:type="dxa"/>
            <w:noWrap/>
            <w:vAlign w:val="center"/>
          </w:tcPr>
          <w:p w14:paraId="701840F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3E4527E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5D2DD0E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5" w:type="dxa"/>
            <w:noWrap/>
            <w:vAlign w:val="center"/>
          </w:tcPr>
          <w:p w14:paraId="58F3C5F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127.98</w:t>
            </w:r>
          </w:p>
        </w:tc>
        <w:tc>
          <w:tcPr>
            <w:tcW w:w="525" w:type="dxa"/>
            <w:vAlign w:val="center"/>
          </w:tcPr>
          <w:p w14:paraId="6F1647B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15.57</w:t>
            </w:r>
          </w:p>
        </w:tc>
        <w:tc>
          <w:tcPr>
            <w:tcW w:w="525" w:type="dxa"/>
            <w:noWrap/>
            <w:vAlign w:val="center"/>
          </w:tcPr>
          <w:p w14:paraId="3E2DAE8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17.60</w:t>
            </w:r>
          </w:p>
        </w:tc>
        <w:tc>
          <w:tcPr>
            <w:tcW w:w="525" w:type="dxa"/>
            <w:vAlign w:val="center"/>
          </w:tcPr>
          <w:p w14:paraId="4CB9CFC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61.00</w:t>
            </w:r>
          </w:p>
        </w:tc>
        <w:tc>
          <w:tcPr>
            <w:tcW w:w="630" w:type="dxa"/>
            <w:vAlign w:val="center"/>
          </w:tcPr>
          <w:p w14:paraId="6440A2C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94.17</w:t>
            </w:r>
          </w:p>
        </w:tc>
        <w:tc>
          <w:tcPr>
            <w:tcW w:w="525" w:type="dxa"/>
            <w:vAlign w:val="center"/>
          </w:tcPr>
          <w:p w14:paraId="7B747C5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25" w:type="dxa"/>
            <w:vAlign w:val="center"/>
          </w:tcPr>
          <w:p w14:paraId="1217540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24.35</w:t>
            </w:r>
          </w:p>
        </w:tc>
        <w:tc>
          <w:tcPr>
            <w:tcW w:w="525" w:type="dxa"/>
            <w:vAlign w:val="center"/>
          </w:tcPr>
          <w:p w14:paraId="69BAB20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26.35</w:t>
            </w:r>
          </w:p>
        </w:tc>
        <w:tc>
          <w:tcPr>
            <w:tcW w:w="525" w:type="dxa"/>
            <w:vAlign w:val="center"/>
          </w:tcPr>
          <w:p w14:paraId="5BBB3456">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13" w:type="dxa"/>
            <w:vAlign w:val="center"/>
          </w:tcPr>
          <w:p w14:paraId="326E5172">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5A41198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23" w:type="dxa"/>
            <w:noWrap/>
            <w:vAlign w:val="center"/>
          </w:tcPr>
          <w:p w14:paraId="3D6574A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120.52</w:t>
            </w:r>
          </w:p>
        </w:tc>
        <w:tc>
          <w:tcPr>
            <w:tcW w:w="525" w:type="dxa"/>
            <w:vAlign w:val="center"/>
          </w:tcPr>
          <w:p w14:paraId="1BA8D590">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69" w:type="dxa"/>
            <w:noWrap/>
            <w:vAlign w:val="center"/>
          </w:tcPr>
          <w:p w14:paraId="65CAC50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7.46</w:t>
            </w:r>
          </w:p>
        </w:tc>
        <w:tc>
          <w:tcPr>
            <w:tcW w:w="539" w:type="dxa"/>
            <w:vAlign w:val="center"/>
          </w:tcPr>
          <w:p w14:paraId="3369237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7.46</w:t>
            </w:r>
          </w:p>
        </w:tc>
        <w:tc>
          <w:tcPr>
            <w:tcW w:w="672" w:type="dxa"/>
            <w:vAlign w:val="center"/>
          </w:tcPr>
          <w:p w14:paraId="735408FF">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77734079">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4C77866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7.46</w:t>
            </w:r>
          </w:p>
        </w:tc>
      </w:tr>
      <w:tr w14:paraId="6699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6476BEC1">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秦淮区</w:t>
            </w:r>
          </w:p>
        </w:tc>
        <w:tc>
          <w:tcPr>
            <w:tcW w:w="525" w:type="dxa"/>
            <w:noWrap/>
            <w:vAlign w:val="center"/>
          </w:tcPr>
          <w:p w14:paraId="1854E98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24.48</w:t>
            </w:r>
          </w:p>
        </w:tc>
        <w:tc>
          <w:tcPr>
            <w:tcW w:w="525" w:type="dxa"/>
            <w:noWrap/>
            <w:vAlign w:val="center"/>
          </w:tcPr>
          <w:p w14:paraId="617D6D6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23.47</w:t>
            </w:r>
          </w:p>
        </w:tc>
        <w:tc>
          <w:tcPr>
            <w:tcW w:w="525" w:type="dxa"/>
            <w:noWrap/>
            <w:vAlign w:val="center"/>
          </w:tcPr>
          <w:p w14:paraId="562286A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208.77</w:t>
            </w:r>
          </w:p>
        </w:tc>
        <w:tc>
          <w:tcPr>
            <w:tcW w:w="630" w:type="dxa"/>
            <w:vAlign w:val="center"/>
          </w:tcPr>
          <w:p w14:paraId="0893FE4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256.71</w:t>
            </w:r>
          </w:p>
        </w:tc>
        <w:tc>
          <w:tcPr>
            <w:tcW w:w="510" w:type="dxa"/>
            <w:noWrap/>
            <w:vAlign w:val="center"/>
          </w:tcPr>
          <w:p w14:paraId="1AAFF4C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40" w:type="dxa"/>
            <w:noWrap/>
            <w:vAlign w:val="center"/>
          </w:tcPr>
          <w:p w14:paraId="3EF8768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200.00</w:t>
            </w:r>
          </w:p>
        </w:tc>
        <w:tc>
          <w:tcPr>
            <w:tcW w:w="540" w:type="dxa"/>
            <w:vAlign w:val="center"/>
          </w:tcPr>
          <w:p w14:paraId="63A5501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202.00</w:t>
            </w:r>
          </w:p>
        </w:tc>
        <w:tc>
          <w:tcPr>
            <w:tcW w:w="540" w:type="dxa"/>
            <w:noWrap/>
            <w:vAlign w:val="center"/>
          </w:tcPr>
          <w:p w14:paraId="758FC25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5CEB9F4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159CA9D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5" w:type="dxa"/>
            <w:noWrap/>
            <w:vAlign w:val="center"/>
          </w:tcPr>
          <w:p w14:paraId="4D12C35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458.71</w:t>
            </w:r>
          </w:p>
        </w:tc>
        <w:tc>
          <w:tcPr>
            <w:tcW w:w="525" w:type="dxa"/>
            <w:vAlign w:val="center"/>
          </w:tcPr>
          <w:p w14:paraId="39B428A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24.25</w:t>
            </w:r>
          </w:p>
        </w:tc>
        <w:tc>
          <w:tcPr>
            <w:tcW w:w="525" w:type="dxa"/>
            <w:noWrap/>
            <w:vAlign w:val="center"/>
          </w:tcPr>
          <w:p w14:paraId="746DE6E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23.47</w:t>
            </w:r>
          </w:p>
        </w:tc>
        <w:tc>
          <w:tcPr>
            <w:tcW w:w="525" w:type="dxa"/>
            <w:vAlign w:val="center"/>
          </w:tcPr>
          <w:p w14:paraId="431B4AB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208.77</w:t>
            </w:r>
          </w:p>
        </w:tc>
        <w:tc>
          <w:tcPr>
            <w:tcW w:w="630" w:type="dxa"/>
            <w:vAlign w:val="center"/>
          </w:tcPr>
          <w:p w14:paraId="2E8DAB0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256.48</w:t>
            </w:r>
          </w:p>
        </w:tc>
        <w:tc>
          <w:tcPr>
            <w:tcW w:w="525" w:type="dxa"/>
            <w:vAlign w:val="center"/>
          </w:tcPr>
          <w:p w14:paraId="28CBF84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25" w:type="dxa"/>
            <w:vAlign w:val="center"/>
          </w:tcPr>
          <w:p w14:paraId="160E183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200.00</w:t>
            </w:r>
          </w:p>
        </w:tc>
        <w:tc>
          <w:tcPr>
            <w:tcW w:w="525" w:type="dxa"/>
            <w:vAlign w:val="center"/>
          </w:tcPr>
          <w:p w14:paraId="7FEFEDE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202.00</w:t>
            </w:r>
          </w:p>
        </w:tc>
        <w:tc>
          <w:tcPr>
            <w:tcW w:w="525" w:type="dxa"/>
            <w:vAlign w:val="center"/>
          </w:tcPr>
          <w:p w14:paraId="48DE3E4B">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13" w:type="dxa"/>
            <w:vAlign w:val="center"/>
          </w:tcPr>
          <w:p w14:paraId="3DCC8B81">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2AFD352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23" w:type="dxa"/>
            <w:noWrap/>
            <w:vAlign w:val="center"/>
          </w:tcPr>
          <w:p w14:paraId="0CAF34C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458.48</w:t>
            </w:r>
          </w:p>
        </w:tc>
        <w:tc>
          <w:tcPr>
            <w:tcW w:w="525" w:type="dxa"/>
            <w:vAlign w:val="center"/>
          </w:tcPr>
          <w:p w14:paraId="5F0BF92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0.23</w:t>
            </w:r>
          </w:p>
        </w:tc>
        <w:tc>
          <w:tcPr>
            <w:tcW w:w="469" w:type="dxa"/>
            <w:noWrap/>
            <w:vAlign w:val="center"/>
          </w:tcPr>
          <w:p w14:paraId="40335DE6">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0B7DB6B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0.23</w:t>
            </w:r>
          </w:p>
        </w:tc>
        <w:tc>
          <w:tcPr>
            <w:tcW w:w="672" w:type="dxa"/>
            <w:vAlign w:val="center"/>
          </w:tcPr>
          <w:p w14:paraId="50FDF9E7">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36DCD4AC">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4CE6580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0.23</w:t>
            </w:r>
          </w:p>
        </w:tc>
      </w:tr>
      <w:tr w14:paraId="157A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0711EFA6">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建邺区</w:t>
            </w:r>
          </w:p>
        </w:tc>
        <w:tc>
          <w:tcPr>
            <w:tcW w:w="525" w:type="dxa"/>
            <w:noWrap/>
            <w:vAlign w:val="center"/>
          </w:tcPr>
          <w:p w14:paraId="45813D3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19.38</w:t>
            </w:r>
          </w:p>
        </w:tc>
        <w:tc>
          <w:tcPr>
            <w:tcW w:w="525" w:type="dxa"/>
            <w:noWrap/>
            <w:vAlign w:val="center"/>
          </w:tcPr>
          <w:p w14:paraId="283F3E6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21.96</w:t>
            </w:r>
          </w:p>
        </w:tc>
        <w:tc>
          <w:tcPr>
            <w:tcW w:w="525" w:type="dxa"/>
            <w:noWrap/>
            <w:vAlign w:val="center"/>
          </w:tcPr>
          <w:p w14:paraId="7B195D2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35.00</w:t>
            </w:r>
          </w:p>
        </w:tc>
        <w:tc>
          <w:tcPr>
            <w:tcW w:w="630" w:type="dxa"/>
            <w:vAlign w:val="center"/>
          </w:tcPr>
          <w:p w14:paraId="4C2983C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76.34</w:t>
            </w:r>
          </w:p>
        </w:tc>
        <w:tc>
          <w:tcPr>
            <w:tcW w:w="510" w:type="dxa"/>
            <w:noWrap/>
            <w:vAlign w:val="center"/>
          </w:tcPr>
          <w:p w14:paraId="201E761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40" w:type="dxa"/>
            <w:noWrap/>
            <w:vAlign w:val="center"/>
          </w:tcPr>
          <w:p w14:paraId="079FAAD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50.58</w:t>
            </w:r>
          </w:p>
        </w:tc>
        <w:tc>
          <w:tcPr>
            <w:tcW w:w="540" w:type="dxa"/>
            <w:vAlign w:val="center"/>
          </w:tcPr>
          <w:p w14:paraId="1FA9F07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52.58</w:t>
            </w:r>
          </w:p>
        </w:tc>
        <w:tc>
          <w:tcPr>
            <w:tcW w:w="540" w:type="dxa"/>
            <w:noWrap/>
            <w:vAlign w:val="center"/>
          </w:tcPr>
          <w:p w14:paraId="1841840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249AE72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71E05B6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5" w:type="dxa"/>
            <w:noWrap/>
            <w:vAlign w:val="center"/>
          </w:tcPr>
          <w:p w14:paraId="70DDF30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128.92</w:t>
            </w:r>
          </w:p>
        </w:tc>
        <w:tc>
          <w:tcPr>
            <w:tcW w:w="525" w:type="dxa"/>
            <w:vAlign w:val="center"/>
          </w:tcPr>
          <w:p w14:paraId="7B9544C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19.38</w:t>
            </w:r>
          </w:p>
        </w:tc>
        <w:tc>
          <w:tcPr>
            <w:tcW w:w="525" w:type="dxa"/>
            <w:noWrap/>
            <w:vAlign w:val="center"/>
          </w:tcPr>
          <w:p w14:paraId="10A5A59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21.96</w:t>
            </w:r>
          </w:p>
        </w:tc>
        <w:tc>
          <w:tcPr>
            <w:tcW w:w="525" w:type="dxa"/>
            <w:vAlign w:val="center"/>
          </w:tcPr>
          <w:p w14:paraId="20F902D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35.00</w:t>
            </w:r>
          </w:p>
        </w:tc>
        <w:tc>
          <w:tcPr>
            <w:tcW w:w="630" w:type="dxa"/>
            <w:vAlign w:val="center"/>
          </w:tcPr>
          <w:p w14:paraId="1B4184F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76.34</w:t>
            </w:r>
          </w:p>
        </w:tc>
        <w:tc>
          <w:tcPr>
            <w:tcW w:w="525" w:type="dxa"/>
            <w:vAlign w:val="center"/>
          </w:tcPr>
          <w:p w14:paraId="7CABBAF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25" w:type="dxa"/>
            <w:vAlign w:val="center"/>
          </w:tcPr>
          <w:p w14:paraId="6DC5669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50.58</w:t>
            </w:r>
          </w:p>
        </w:tc>
        <w:tc>
          <w:tcPr>
            <w:tcW w:w="525" w:type="dxa"/>
            <w:vAlign w:val="center"/>
          </w:tcPr>
          <w:p w14:paraId="29A1A7F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52.58</w:t>
            </w:r>
          </w:p>
        </w:tc>
        <w:tc>
          <w:tcPr>
            <w:tcW w:w="525" w:type="dxa"/>
            <w:vAlign w:val="center"/>
          </w:tcPr>
          <w:p w14:paraId="0090739B">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13" w:type="dxa"/>
            <w:vAlign w:val="center"/>
          </w:tcPr>
          <w:p w14:paraId="26CD9879">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117FFDB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23" w:type="dxa"/>
            <w:noWrap/>
            <w:vAlign w:val="center"/>
          </w:tcPr>
          <w:p w14:paraId="576E5E2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128.92</w:t>
            </w:r>
          </w:p>
        </w:tc>
        <w:tc>
          <w:tcPr>
            <w:tcW w:w="525" w:type="dxa"/>
            <w:vAlign w:val="center"/>
          </w:tcPr>
          <w:p w14:paraId="7354C0DA">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69" w:type="dxa"/>
            <w:noWrap/>
            <w:vAlign w:val="center"/>
          </w:tcPr>
          <w:p w14:paraId="2D520B16">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008B893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2" w:type="dxa"/>
            <w:vAlign w:val="center"/>
          </w:tcPr>
          <w:p w14:paraId="1F30D6F4">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513D1471">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2E5F1A2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r>
      <w:tr w14:paraId="1117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6379FE0D">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鼓楼区</w:t>
            </w:r>
          </w:p>
        </w:tc>
        <w:tc>
          <w:tcPr>
            <w:tcW w:w="525" w:type="dxa"/>
            <w:noWrap/>
            <w:vAlign w:val="center"/>
          </w:tcPr>
          <w:p w14:paraId="76ECB99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23.58</w:t>
            </w:r>
          </w:p>
        </w:tc>
        <w:tc>
          <w:tcPr>
            <w:tcW w:w="525" w:type="dxa"/>
            <w:noWrap/>
            <w:vAlign w:val="center"/>
          </w:tcPr>
          <w:p w14:paraId="7742EA7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14.80</w:t>
            </w:r>
          </w:p>
        </w:tc>
        <w:tc>
          <w:tcPr>
            <w:tcW w:w="525" w:type="dxa"/>
            <w:noWrap/>
            <w:vAlign w:val="center"/>
          </w:tcPr>
          <w:p w14:paraId="087AB4C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200.54</w:t>
            </w:r>
          </w:p>
        </w:tc>
        <w:tc>
          <w:tcPr>
            <w:tcW w:w="630" w:type="dxa"/>
            <w:vAlign w:val="center"/>
          </w:tcPr>
          <w:p w14:paraId="759F77D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238.92</w:t>
            </w:r>
          </w:p>
        </w:tc>
        <w:tc>
          <w:tcPr>
            <w:tcW w:w="510" w:type="dxa"/>
            <w:noWrap/>
            <w:vAlign w:val="center"/>
          </w:tcPr>
          <w:p w14:paraId="4F90194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40" w:type="dxa"/>
            <w:noWrap/>
            <w:vAlign w:val="center"/>
          </w:tcPr>
          <w:p w14:paraId="56B7EEC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80.00</w:t>
            </w:r>
          </w:p>
        </w:tc>
        <w:tc>
          <w:tcPr>
            <w:tcW w:w="540" w:type="dxa"/>
            <w:vAlign w:val="center"/>
          </w:tcPr>
          <w:p w14:paraId="2F1D356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82.00</w:t>
            </w:r>
          </w:p>
        </w:tc>
        <w:tc>
          <w:tcPr>
            <w:tcW w:w="540" w:type="dxa"/>
            <w:noWrap/>
            <w:vAlign w:val="center"/>
          </w:tcPr>
          <w:p w14:paraId="2246DA5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265D6E9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776F782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5" w:type="dxa"/>
            <w:noWrap/>
            <w:vAlign w:val="center"/>
          </w:tcPr>
          <w:p w14:paraId="4145711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320.92</w:t>
            </w:r>
          </w:p>
        </w:tc>
        <w:tc>
          <w:tcPr>
            <w:tcW w:w="525" w:type="dxa"/>
            <w:vAlign w:val="center"/>
          </w:tcPr>
          <w:p w14:paraId="50FAA34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23.58</w:t>
            </w:r>
          </w:p>
        </w:tc>
        <w:tc>
          <w:tcPr>
            <w:tcW w:w="525" w:type="dxa"/>
            <w:noWrap/>
            <w:vAlign w:val="center"/>
          </w:tcPr>
          <w:p w14:paraId="602F050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14.80</w:t>
            </w:r>
          </w:p>
        </w:tc>
        <w:tc>
          <w:tcPr>
            <w:tcW w:w="525" w:type="dxa"/>
            <w:vAlign w:val="center"/>
          </w:tcPr>
          <w:p w14:paraId="1216362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200.54</w:t>
            </w:r>
          </w:p>
        </w:tc>
        <w:tc>
          <w:tcPr>
            <w:tcW w:w="630" w:type="dxa"/>
            <w:vAlign w:val="center"/>
          </w:tcPr>
          <w:p w14:paraId="786F06C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238.92</w:t>
            </w:r>
          </w:p>
        </w:tc>
        <w:tc>
          <w:tcPr>
            <w:tcW w:w="525" w:type="dxa"/>
            <w:vAlign w:val="center"/>
          </w:tcPr>
          <w:p w14:paraId="10DDEF0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25" w:type="dxa"/>
            <w:vAlign w:val="center"/>
          </w:tcPr>
          <w:p w14:paraId="2C4C29F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80.00</w:t>
            </w:r>
          </w:p>
        </w:tc>
        <w:tc>
          <w:tcPr>
            <w:tcW w:w="525" w:type="dxa"/>
            <w:vAlign w:val="center"/>
          </w:tcPr>
          <w:p w14:paraId="35AD4F9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82.00</w:t>
            </w:r>
          </w:p>
        </w:tc>
        <w:tc>
          <w:tcPr>
            <w:tcW w:w="525" w:type="dxa"/>
            <w:vAlign w:val="center"/>
          </w:tcPr>
          <w:p w14:paraId="1D948077">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13" w:type="dxa"/>
            <w:vAlign w:val="center"/>
          </w:tcPr>
          <w:p w14:paraId="7ADD24B2">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27A62EE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23" w:type="dxa"/>
            <w:noWrap/>
            <w:vAlign w:val="center"/>
          </w:tcPr>
          <w:p w14:paraId="6596F6D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320.92</w:t>
            </w:r>
          </w:p>
        </w:tc>
        <w:tc>
          <w:tcPr>
            <w:tcW w:w="525" w:type="dxa"/>
            <w:vAlign w:val="center"/>
          </w:tcPr>
          <w:p w14:paraId="193DB91E">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69" w:type="dxa"/>
            <w:noWrap/>
            <w:vAlign w:val="center"/>
          </w:tcPr>
          <w:p w14:paraId="17DE0587">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221A201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2" w:type="dxa"/>
            <w:vAlign w:val="center"/>
          </w:tcPr>
          <w:p w14:paraId="6B73A51E">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4313C3CB">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3197E4E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r>
      <w:tr w14:paraId="6543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5139D42C">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栖霞区</w:t>
            </w:r>
          </w:p>
        </w:tc>
        <w:tc>
          <w:tcPr>
            <w:tcW w:w="525" w:type="dxa"/>
            <w:noWrap/>
            <w:vAlign w:val="center"/>
          </w:tcPr>
          <w:p w14:paraId="5C8B0E7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28.47</w:t>
            </w:r>
          </w:p>
        </w:tc>
        <w:tc>
          <w:tcPr>
            <w:tcW w:w="525" w:type="dxa"/>
            <w:noWrap/>
            <w:vAlign w:val="center"/>
          </w:tcPr>
          <w:p w14:paraId="4B258A2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20.06</w:t>
            </w:r>
          </w:p>
        </w:tc>
        <w:tc>
          <w:tcPr>
            <w:tcW w:w="525" w:type="dxa"/>
            <w:noWrap/>
            <w:vAlign w:val="center"/>
          </w:tcPr>
          <w:p w14:paraId="2B28D05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60.00</w:t>
            </w:r>
          </w:p>
        </w:tc>
        <w:tc>
          <w:tcPr>
            <w:tcW w:w="630" w:type="dxa"/>
            <w:vAlign w:val="center"/>
          </w:tcPr>
          <w:p w14:paraId="37374F6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108.53</w:t>
            </w:r>
          </w:p>
        </w:tc>
        <w:tc>
          <w:tcPr>
            <w:tcW w:w="510" w:type="dxa"/>
            <w:noWrap/>
            <w:vAlign w:val="center"/>
          </w:tcPr>
          <w:p w14:paraId="738E13F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40" w:type="dxa"/>
            <w:noWrap/>
            <w:vAlign w:val="center"/>
          </w:tcPr>
          <w:p w14:paraId="2BC2067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34.00</w:t>
            </w:r>
          </w:p>
        </w:tc>
        <w:tc>
          <w:tcPr>
            <w:tcW w:w="540" w:type="dxa"/>
            <w:vAlign w:val="center"/>
          </w:tcPr>
          <w:p w14:paraId="6100335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36.00</w:t>
            </w:r>
          </w:p>
        </w:tc>
        <w:tc>
          <w:tcPr>
            <w:tcW w:w="540" w:type="dxa"/>
            <w:noWrap/>
            <w:vAlign w:val="center"/>
          </w:tcPr>
          <w:p w14:paraId="60CB1FD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314F688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2755C04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5" w:type="dxa"/>
            <w:noWrap/>
            <w:vAlign w:val="center"/>
          </w:tcPr>
          <w:p w14:paraId="637EDC4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144.53</w:t>
            </w:r>
          </w:p>
        </w:tc>
        <w:tc>
          <w:tcPr>
            <w:tcW w:w="525" w:type="dxa"/>
            <w:vAlign w:val="center"/>
          </w:tcPr>
          <w:p w14:paraId="5A2ECED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28.47</w:t>
            </w:r>
          </w:p>
        </w:tc>
        <w:tc>
          <w:tcPr>
            <w:tcW w:w="525" w:type="dxa"/>
            <w:noWrap/>
            <w:vAlign w:val="center"/>
          </w:tcPr>
          <w:p w14:paraId="0A104E7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20.06</w:t>
            </w:r>
          </w:p>
        </w:tc>
        <w:tc>
          <w:tcPr>
            <w:tcW w:w="525" w:type="dxa"/>
            <w:vAlign w:val="center"/>
          </w:tcPr>
          <w:p w14:paraId="5564F06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60.00</w:t>
            </w:r>
          </w:p>
        </w:tc>
        <w:tc>
          <w:tcPr>
            <w:tcW w:w="630" w:type="dxa"/>
            <w:vAlign w:val="center"/>
          </w:tcPr>
          <w:p w14:paraId="5AEEDDB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108.53</w:t>
            </w:r>
          </w:p>
        </w:tc>
        <w:tc>
          <w:tcPr>
            <w:tcW w:w="525" w:type="dxa"/>
            <w:vAlign w:val="center"/>
          </w:tcPr>
          <w:p w14:paraId="6C0B9DA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25" w:type="dxa"/>
            <w:vAlign w:val="center"/>
          </w:tcPr>
          <w:p w14:paraId="5D7A700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34.00</w:t>
            </w:r>
          </w:p>
        </w:tc>
        <w:tc>
          <w:tcPr>
            <w:tcW w:w="525" w:type="dxa"/>
            <w:vAlign w:val="center"/>
          </w:tcPr>
          <w:p w14:paraId="74B1CF7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36.00</w:t>
            </w:r>
          </w:p>
        </w:tc>
        <w:tc>
          <w:tcPr>
            <w:tcW w:w="525" w:type="dxa"/>
            <w:vAlign w:val="center"/>
          </w:tcPr>
          <w:p w14:paraId="53D2C216">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13" w:type="dxa"/>
            <w:vAlign w:val="center"/>
          </w:tcPr>
          <w:p w14:paraId="041B95ED">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0731CCC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23" w:type="dxa"/>
            <w:noWrap/>
            <w:vAlign w:val="center"/>
          </w:tcPr>
          <w:p w14:paraId="79E4D99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144.53</w:t>
            </w:r>
          </w:p>
        </w:tc>
        <w:tc>
          <w:tcPr>
            <w:tcW w:w="525" w:type="dxa"/>
            <w:vAlign w:val="center"/>
          </w:tcPr>
          <w:p w14:paraId="07D5E8FE">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69" w:type="dxa"/>
            <w:noWrap/>
            <w:vAlign w:val="center"/>
          </w:tcPr>
          <w:p w14:paraId="7A087EC8">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55E5882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2" w:type="dxa"/>
            <w:vAlign w:val="center"/>
          </w:tcPr>
          <w:p w14:paraId="4A17F8B9">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27E090BE">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4549CA5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r>
      <w:tr w14:paraId="60C3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13790F5F">
            <w:pPr>
              <w:widowControl/>
              <w:jc w:val="center"/>
              <w:textAlignment w:val="center"/>
              <w:rPr>
                <w:rFonts w:ascii="仿宋" w:hAnsi="仿宋" w:eastAsia="仿宋" w:cs="Times New Roman"/>
                <w:b/>
                <w:bCs/>
                <w:color w:val="000000"/>
                <w:kern w:val="0"/>
                <w:sz w:val="10"/>
                <w:szCs w:val="10"/>
              </w:rPr>
            </w:pPr>
            <w:r>
              <w:rPr>
                <w:rFonts w:hint="eastAsia" w:ascii="仿宋" w:hAnsi="仿宋" w:eastAsia="仿宋" w:cs="仿宋"/>
                <w:b/>
                <w:bCs/>
                <w:color w:val="000000"/>
                <w:kern w:val="0"/>
                <w:sz w:val="10"/>
                <w:szCs w:val="10"/>
              </w:rPr>
              <w:t>雨花</w:t>
            </w:r>
          </w:p>
          <w:p w14:paraId="13AFD1A9">
            <w:pPr>
              <w:widowControl/>
              <w:jc w:val="center"/>
              <w:textAlignment w:val="center"/>
              <w:rPr>
                <w:rFonts w:ascii="仿宋" w:hAnsi="仿宋" w:eastAsia="仿宋" w:cs="Times New Roman"/>
                <w:b/>
                <w:bCs/>
                <w:color w:val="000000"/>
                <w:kern w:val="0"/>
                <w:sz w:val="10"/>
                <w:szCs w:val="10"/>
              </w:rPr>
            </w:pPr>
            <w:r>
              <w:rPr>
                <w:rFonts w:hint="eastAsia" w:ascii="仿宋" w:hAnsi="仿宋" w:eastAsia="仿宋" w:cs="仿宋"/>
                <w:b/>
                <w:bCs/>
                <w:color w:val="000000"/>
                <w:kern w:val="0"/>
                <w:sz w:val="10"/>
                <w:szCs w:val="10"/>
              </w:rPr>
              <w:t>台区</w:t>
            </w:r>
          </w:p>
        </w:tc>
        <w:tc>
          <w:tcPr>
            <w:tcW w:w="525" w:type="dxa"/>
            <w:noWrap/>
            <w:vAlign w:val="center"/>
          </w:tcPr>
          <w:p w14:paraId="1093830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46.91</w:t>
            </w:r>
          </w:p>
        </w:tc>
        <w:tc>
          <w:tcPr>
            <w:tcW w:w="525" w:type="dxa"/>
            <w:noWrap/>
            <w:vAlign w:val="center"/>
          </w:tcPr>
          <w:p w14:paraId="7069BED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12.32</w:t>
            </w:r>
          </w:p>
        </w:tc>
        <w:tc>
          <w:tcPr>
            <w:tcW w:w="525" w:type="dxa"/>
            <w:noWrap/>
            <w:vAlign w:val="center"/>
          </w:tcPr>
          <w:p w14:paraId="73E71CC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54.90</w:t>
            </w:r>
          </w:p>
        </w:tc>
        <w:tc>
          <w:tcPr>
            <w:tcW w:w="630" w:type="dxa"/>
            <w:vAlign w:val="center"/>
          </w:tcPr>
          <w:p w14:paraId="1A9C254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114.13</w:t>
            </w:r>
          </w:p>
        </w:tc>
        <w:tc>
          <w:tcPr>
            <w:tcW w:w="510" w:type="dxa"/>
            <w:noWrap/>
            <w:vAlign w:val="center"/>
          </w:tcPr>
          <w:p w14:paraId="38AC605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40" w:type="dxa"/>
            <w:noWrap/>
            <w:vAlign w:val="center"/>
          </w:tcPr>
          <w:p w14:paraId="35FF570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16.47</w:t>
            </w:r>
          </w:p>
        </w:tc>
        <w:tc>
          <w:tcPr>
            <w:tcW w:w="540" w:type="dxa"/>
            <w:vAlign w:val="center"/>
          </w:tcPr>
          <w:p w14:paraId="60511E1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18.47</w:t>
            </w:r>
          </w:p>
        </w:tc>
        <w:tc>
          <w:tcPr>
            <w:tcW w:w="540" w:type="dxa"/>
            <w:noWrap/>
            <w:vAlign w:val="center"/>
          </w:tcPr>
          <w:p w14:paraId="25A67CE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556A4E4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3DD7D8E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5" w:type="dxa"/>
            <w:noWrap/>
            <w:vAlign w:val="center"/>
          </w:tcPr>
          <w:p w14:paraId="516E2C9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132.60</w:t>
            </w:r>
          </w:p>
        </w:tc>
        <w:tc>
          <w:tcPr>
            <w:tcW w:w="525" w:type="dxa"/>
            <w:vAlign w:val="center"/>
          </w:tcPr>
          <w:p w14:paraId="147455C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25.45</w:t>
            </w:r>
          </w:p>
        </w:tc>
        <w:tc>
          <w:tcPr>
            <w:tcW w:w="525" w:type="dxa"/>
            <w:noWrap/>
            <w:vAlign w:val="center"/>
          </w:tcPr>
          <w:p w14:paraId="3F7C4C18">
            <w:pPr>
              <w:jc w:val="right"/>
              <w:rPr>
                <w:rFonts w:ascii="仿宋" w:hAnsi="仿宋" w:eastAsia="仿宋" w:cs="Times New Roman"/>
                <w:b/>
                <w:bCs/>
                <w:color w:val="000000"/>
                <w:sz w:val="10"/>
                <w:szCs w:val="10"/>
              </w:rPr>
            </w:pPr>
          </w:p>
        </w:tc>
        <w:tc>
          <w:tcPr>
            <w:tcW w:w="525" w:type="dxa"/>
            <w:vAlign w:val="center"/>
          </w:tcPr>
          <w:p w14:paraId="04A6639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54.90</w:t>
            </w:r>
          </w:p>
        </w:tc>
        <w:tc>
          <w:tcPr>
            <w:tcW w:w="630" w:type="dxa"/>
            <w:vAlign w:val="center"/>
          </w:tcPr>
          <w:p w14:paraId="31A0FAA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80.35</w:t>
            </w:r>
          </w:p>
        </w:tc>
        <w:tc>
          <w:tcPr>
            <w:tcW w:w="525" w:type="dxa"/>
            <w:vAlign w:val="center"/>
          </w:tcPr>
          <w:p w14:paraId="5C1B0DB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25" w:type="dxa"/>
            <w:vAlign w:val="center"/>
          </w:tcPr>
          <w:p w14:paraId="677E562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16.47</w:t>
            </w:r>
          </w:p>
        </w:tc>
        <w:tc>
          <w:tcPr>
            <w:tcW w:w="525" w:type="dxa"/>
            <w:vAlign w:val="center"/>
          </w:tcPr>
          <w:p w14:paraId="56EC972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18.47</w:t>
            </w:r>
          </w:p>
        </w:tc>
        <w:tc>
          <w:tcPr>
            <w:tcW w:w="525" w:type="dxa"/>
            <w:vAlign w:val="center"/>
          </w:tcPr>
          <w:p w14:paraId="450D124D">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13" w:type="dxa"/>
            <w:vAlign w:val="center"/>
          </w:tcPr>
          <w:p w14:paraId="14C06060">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4995113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23" w:type="dxa"/>
            <w:noWrap/>
            <w:vAlign w:val="center"/>
          </w:tcPr>
          <w:p w14:paraId="4F0AE74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98.82</w:t>
            </w:r>
          </w:p>
        </w:tc>
        <w:tc>
          <w:tcPr>
            <w:tcW w:w="525" w:type="dxa"/>
            <w:vAlign w:val="center"/>
          </w:tcPr>
          <w:p w14:paraId="12B6F70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21.46</w:t>
            </w:r>
          </w:p>
        </w:tc>
        <w:tc>
          <w:tcPr>
            <w:tcW w:w="469" w:type="dxa"/>
            <w:noWrap/>
            <w:vAlign w:val="center"/>
          </w:tcPr>
          <w:p w14:paraId="5374021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12.32</w:t>
            </w:r>
          </w:p>
        </w:tc>
        <w:tc>
          <w:tcPr>
            <w:tcW w:w="539" w:type="dxa"/>
            <w:vAlign w:val="center"/>
          </w:tcPr>
          <w:p w14:paraId="6C89A5F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33.78</w:t>
            </w:r>
          </w:p>
        </w:tc>
        <w:tc>
          <w:tcPr>
            <w:tcW w:w="672" w:type="dxa"/>
            <w:vAlign w:val="center"/>
          </w:tcPr>
          <w:p w14:paraId="5D74F481">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620FB68A">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674776A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33.78</w:t>
            </w:r>
          </w:p>
        </w:tc>
      </w:tr>
      <w:tr w14:paraId="3764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1EA806C7">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江宁区</w:t>
            </w:r>
          </w:p>
        </w:tc>
        <w:tc>
          <w:tcPr>
            <w:tcW w:w="525" w:type="dxa"/>
            <w:noWrap/>
            <w:vAlign w:val="center"/>
          </w:tcPr>
          <w:p w14:paraId="309C51A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49.27</w:t>
            </w:r>
          </w:p>
        </w:tc>
        <w:tc>
          <w:tcPr>
            <w:tcW w:w="525" w:type="dxa"/>
            <w:noWrap/>
            <w:vAlign w:val="center"/>
          </w:tcPr>
          <w:p w14:paraId="7D2FDF1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37.01</w:t>
            </w:r>
          </w:p>
        </w:tc>
        <w:tc>
          <w:tcPr>
            <w:tcW w:w="525" w:type="dxa"/>
            <w:noWrap/>
            <w:vAlign w:val="center"/>
          </w:tcPr>
          <w:p w14:paraId="7F07AC3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29.92</w:t>
            </w:r>
          </w:p>
        </w:tc>
        <w:tc>
          <w:tcPr>
            <w:tcW w:w="630" w:type="dxa"/>
            <w:vAlign w:val="center"/>
          </w:tcPr>
          <w:p w14:paraId="4A1E634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116.20</w:t>
            </w:r>
          </w:p>
        </w:tc>
        <w:tc>
          <w:tcPr>
            <w:tcW w:w="510" w:type="dxa"/>
            <w:noWrap/>
            <w:vAlign w:val="center"/>
          </w:tcPr>
          <w:p w14:paraId="4A1F630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5.00</w:t>
            </w:r>
          </w:p>
        </w:tc>
        <w:tc>
          <w:tcPr>
            <w:tcW w:w="540" w:type="dxa"/>
            <w:noWrap/>
            <w:vAlign w:val="center"/>
          </w:tcPr>
          <w:p w14:paraId="459D95F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150.00</w:t>
            </w:r>
          </w:p>
        </w:tc>
        <w:tc>
          <w:tcPr>
            <w:tcW w:w="540" w:type="dxa"/>
            <w:vAlign w:val="center"/>
          </w:tcPr>
          <w:p w14:paraId="06945BE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155.00</w:t>
            </w:r>
          </w:p>
        </w:tc>
        <w:tc>
          <w:tcPr>
            <w:tcW w:w="540" w:type="dxa"/>
            <w:noWrap/>
            <w:vAlign w:val="center"/>
          </w:tcPr>
          <w:p w14:paraId="37C3D73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2.41</w:t>
            </w:r>
          </w:p>
        </w:tc>
        <w:tc>
          <w:tcPr>
            <w:tcW w:w="540" w:type="dxa"/>
            <w:noWrap/>
            <w:vAlign w:val="center"/>
          </w:tcPr>
          <w:p w14:paraId="1427B7B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3E44D52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2.41</w:t>
            </w:r>
          </w:p>
        </w:tc>
        <w:tc>
          <w:tcPr>
            <w:tcW w:w="675" w:type="dxa"/>
            <w:noWrap/>
            <w:vAlign w:val="center"/>
          </w:tcPr>
          <w:p w14:paraId="5B07D55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273.61</w:t>
            </w:r>
          </w:p>
        </w:tc>
        <w:tc>
          <w:tcPr>
            <w:tcW w:w="525" w:type="dxa"/>
            <w:vAlign w:val="center"/>
          </w:tcPr>
          <w:p w14:paraId="048E110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28.94</w:t>
            </w:r>
          </w:p>
        </w:tc>
        <w:tc>
          <w:tcPr>
            <w:tcW w:w="525" w:type="dxa"/>
            <w:noWrap/>
            <w:vAlign w:val="center"/>
          </w:tcPr>
          <w:p w14:paraId="2B99941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25" w:type="dxa"/>
            <w:vAlign w:val="center"/>
          </w:tcPr>
          <w:p w14:paraId="73CAF5A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29.92</w:t>
            </w:r>
          </w:p>
        </w:tc>
        <w:tc>
          <w:tcPr>
            <w:tcW w:w="630" w:type="dxa"/>
            <w:vAlign w:val="center"/>
          </w:tcPr>
          <w:p w14:paraId="73EDD70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58.86</w:t>
            </w:r>
          </w:p>
        </w:tc>
        <w:tc>
          <w:tcPr>
            <w:tcW w:w="525" w:type="dxa"/>
            <w:vAlign w:val="center"/>
          </w:tcPr>
          <w:p w14:paraId="6FA307AC">
            <w:pPr>
              <w:jc w:val="right"/>
              <w:rPr>
                <w:rFonts w:ascii="仿宋" w:hAnsi="仿宋" w:eastAsia="仿宋" w:cs="Times New Roman"/>
                <w:b/>
                <w:bCs/>
                <w:color w:val="000000"/>
                <w:sz w:val="10"/>
                <w:szCs w:val="10"/>
              </w:rPr>
            </w:pPr>
          </w:p>
        </w:tc>
        <w:tc>
          <w:tcPr>
            <w:tcW w:w="525" w:type="dxa"/>
            <w:vAlign w:val="center"/>
          </w:tcPr>
          <w:p w14:paraId="4BFDD06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150.00</w:t>
            </w:r>
          </w:p>
        </w:tc>
        <w:tc>
          <w:tcPr>
            <w:tcW w:w="525" w:type="dxa"/>
            <w:vAlign w:val="center"/>
          </w:tcPr>
          <w:p w14:paraId="392F94F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150.00</w:t>
            </w:r>
          </w:p>
        </w:tc>
        <w:tc>
          <w:tcPr>
            <w:tcW w:w="525" w:type="dxa"/>
            <w:vAlign w:val="center"/>
          </w:tcPr>
          <w:p w14:paraId="4E7C070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2.30</w:t>
            </w:r>
          </w:p>
        </w:tc>
        <w:tc>
          <w:tcPr>
            <w:tcW w:w="413" w:type="dxa"/>
            <w:vAlign w:val="center"/>
          </w:tcPr>
          <w:p w14:paraId="4EC16F81">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2A19275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2.30</w:t>
            </w:r>
          </w:p>
        </w:tc>
        <w:tc>
          <w:tcPr>
            <w:tcW w:w="623" w:type="dxa"/>
            <w:noWrap/>
            <w:vAlign w:val="center"/>
          </w:tcPr>
          <w:p w14:paraId="674000C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211.16</w:t>
            </w:r>
          </w:p>
        </w:tc>
        <w:tc>
          <w:tcPr>
            <w:tcW w:w="525" w:type="dxa"/>
            <w:vAlign w:val="center"/>
          </w:tcPr>
          <w:p w14:paraId="01E2F60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20.33</w:t>
            </w:r>
          </w:p>
        </w:tc>
        <w:tc>
          <w:tcPr>
            <w:tcW w:w="469" w:type="dxa"/>
            <w:noWrap/>
            <w:vAlign w:val="center"/>
          </w:tcPr>
          <w:p w14:paraId="22EE8B6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37.01</w:t>
            </w:r>
          </w:p>
        </w:tc>
        <w:tc>
          <w:tcPr>
            <w:tcW w:w="539" w:type="dxa"/>
            <w:vAlign w:val="center"/>
          </w:tcPr>
          <w:p w14:paraId="367B0B1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57.34</w:t>
            </w:r>
          </w:p>
        </w:tc>
        <w:tc>
          <w:tcPr>
            <w:tcW w:w="672" w:type="dxa"/>
            <w:vAlign w:val="center"/>
          </w:tcPr>
          <w:p w14:paraId="5C9084F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5.00</w:t>
            </w:r>
          </w:p>
        </w:tc>
        <w:tc>
          <w:tcPr>
            <w:tcW w:w="709" w:type="dxa"/>
            <w:vAlign w:val="center"/>
          </w:tcPr>
          <w:p w14:paraId="285968E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0.11</w:t>
            </w:r>
          </w:p>
        </w:tc>
        <w:tc>
          <w:tcPr>
            <w:tcW w:w="551" w:type="dxa"/>
            <w:noWrap/>
            <w:vAlign w:val="center"/>
          </w:tcPr>
          <w:p w14:paraId="7AA11B0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62.45</w:t>
            </w:r>
          </w:p>
        </w:tc>
      </w:tr>
      <w:tr w14:paraId="0614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746D71E2">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浦口区</w:t>
            </w:r>
          </w:p>
        </w:tc>
        <w:tc>
          <w:tcPr>
            <w:tcW w:w="525" w:type="dxa"/>
            <w:noWrap/>
            <w:vAlign w:val="center"/>
          </w:tcPr>
          <w:p w14:paraId="05403B0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23.33</w:t>
            </w:r>
          </w:p>
        </w:tc>
        <w:tc>
          <w:tcPr>
            <w:tcW w:w="525" w:type="dxa"/>
            <w:noWrap/>
            <w:vAlign w:val="center"/>
          </w:tcPr>
          <w:p w14:paraId="4E7A8D9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0.57</w:t>
            </w:r>
          </w:p>
        </w:tc>
        <w:tc>
          <w:tcPr>
            <w:tcW w:w="525" w:type="dxa"/>
            <w:noWrap/>
            <w:vAlign w:val="center"/>
          </w:tcPr>
          <w:p w14:paraId="778C640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25.00</w:t>
            </w:r>
          </w:p>
        </w:tc>
        <w:tc>
          <w:tcPr>
            <w:tcW w:w="630" w:type="dxa"/>
            <w:vAlign w:val="center"/>
          </w:tcPr>
          <w:p w14:paraId="7404E25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48.90</w:t>
            </w:r>
          </w:p>
        </w:tc>
        <w:tc>
          <w:tcPr>
            <w:tcW w:w="510" w:type="dxa"/>
            <w:noWrap/>
            <w:vAlign w:val="center"/>
          </w:tcPr>
          <w:p w14:paraId="5957549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40" w:type="dxa"/>
            <w:noWrap/>
            <w:vAlign w:val="center"/>
          </w:tcPr>
          <w:p w14:paraId="70B4D19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8.00</w:t>
            </w:r>
          </w:p>
        </w:tc>
        <w:tc>
          <w:tcPr>
            <w:tcW w:w="540" w:type="dxa"/>
            <w:vAlign w:val="center"/>
          </w:tcPr>
          <w:p w14:paraId="20C5A96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10.00</w:t>
            </w:r>
          </w:p>
        </w:tc>
        <w:tc>
          <w:tcPr>
            <w:tcW w:w="540" w:type="dxa"/>
            <w:noWrap/>
            <w:vAlign w:val="center"/>
          </w:tcPr>
          <w:p w14:paraId="47D0740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1.40</w:t>
            </w:r>
          </w:p>
        </w:tc>
        <w:tc>
          <w:tcPr>
            <w:tcW w:w="540" w:type="dxa"/>
            <w:noWrap/>
            <w:vAlign w:val="center"/>
          </w:tcPr>
          <w:p w14:paraId="642D908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3A74A46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1.40</w:t>
            </w:r>
          </w:p>
        </w:tc>
        <w:tc>
          <w:tcPr>
            <w:tcW w:w="675" w:type="dxa"/>
            <w:noWrap/>
            <w:vAlign w:val="center"/>
          </w:tcPr>
          <w:p w14:paraId="12AF1BF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60.30</w:t>
            </w:r>
          </w:p>
        </w:tc>
        <w:tc>
          <w:tcPr>
            <w:tcW w:w="525" w:type="dxa"/>
            <w:vAlign w:val="center"/>
          </w:tcPr>
          <w:p w14:paraId="55959C5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18.25</w:t>
            </w:r>
          </w:p>
        </w:tc>
        <w:tc>
          <w:tcPr>
            <w:tcW w:w="525" w:type="dxa"/>
            <w:noWrap/>
            <w:vAlign w:val="center"/>
          </w:tcPr>
          <w:p w14:paraId="01F4C66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0.57</w:t>
            </w:r>
          </w:p>
        </w:tc>
        <w:tc>
          <w:tcPr>
            <w:tcW w:w="525" w:type="dxa"/>
            <w:vAlign w:val="center"/>
          </w:tcPr>
          <w:p w14:paraId="5EAD3D3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25.00</w:t>
            </w:r>
          </w:p>
        </w:tc>
        <w:tc>
          <w:tcPr>
            <w:tcW w:w="630" w:type="dxa"/>
            <w:vAlign w:val="center"/>
          </w:tcPr>
          <w:p w14:paraId="2C113FF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43.82</w:t>
            </w:r>
          </w:p>
        </w:tc>
        <w:tc>
          <w:tcPr>
            <w:tcW w:w="525" w:type="dxa"/>
            <w:vAlign w:val="center"/>
          </w:tcPr>
          <w:p w14:paraId="0FDB7A2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25" w:type="dxa"/>
            <w:vAlign w:val="center"/>
          </w:tcPr>
          <w:p w14:paraId="6A4AC56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8.00</w:t>
            </w:r>
          </w:p>
        </w:tc>
        <w:tc>
          <w:tcPr>
            <w:tcW w:w="525" w:type="dxa"/>
            <w:vAlign w:val="center"/>
          </w:tcPr>
          <w:p w14:paraId="4F8EE49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10.00</w:t>
            </w:r>
          </w:p>
        </w:tc>
        <w:tc>
          <w:tcPr>
            <w:tcW w:w="525" w:type="dxa"/>
            <w:vAlign w:val="center"/>
          </w:tcPr>
          <w:p w14:paraId="2975922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1.40</w:t>
            </w:r>
          </w:p>
        </w:tc>
        <w:tc>
          <w:tcPr>
            <w:tcW w:w="413" w:type="dxa"/>
            <w:vAlign w:val="center"/>
          </w:tcPr>
          <w:p w14:paraId="533D50F8">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7FBC793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1.40</w:t>
            </w:r>
          </w:p>
        </w:tc>
        <w:tc>
          <w:tcPr>
            <w:tcW w:w="623" w:type="dxa"/>
            <w:noWrap/>
            <w:vAlign w:val="center"/>
          </w:tcPr>
          <w:p w14:paraId="419E1F8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55.22</w:t>
            </w:r>
          </w:p>
        </w:tc>
        <w:tc>
          <w:tcPr>
            <w:tcW w:w="525" w:type="dxa"/>
            <w:vAlign w:val="center"/>
          </w:tcPr>
          <w:p w14:paraId="59FF129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5.08</w:t>
            </w:r>
          </w:p>
        </w:tc>
        <w:tc>
          <w:tcPr>
            <w:tcW w:w="469" w:type="dxa"/>
            <w:noWrap/>
            <w:vAlign w:val="center"/>
          </w:tcPr>
          <w:p w14:paraId="01E3A9E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39" w:type="dxa"/>
            <w:vAlign w:val="center"/>
          </w:tcPr>
          <w:p w14:paraId="29EC702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5.08</w:t>
            </w:r>
          </w:p>
        </w:tc>
        <w:tc>
          <w:tcPr>
            <w:tcW w:w="672" w:type="dxa"/>
            <w:vAlign w:val="center"/>
          </w:tcPr>
          <w:p w14:paraId="1CAF49CE">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107A7959">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35E3552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5.08</w:t>
            </w:r>
          </w:p>
        </w:tc>
      </w:tr>
      <w:tr w14:paraId="5334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5D6A93E4">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六合区</w:t>
            </w:r>
          </w:p>
        </w:tc>
        <w:tc>
          <w:tcPr>
            <w:tcW w:w="525" w:type="dxa"/>
            <w:noWrap/>
            <w:vAlign w:val="center"/>
          </w:tcPr>
          <w:p w14:paraId="5DCFC99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26.50</w:t>
            </w:r>
          </w:p>
        </w:tc>
        <w:tc>
          <w:tcPr>
            <w:tcW w:w="525" w:type="dxa"/>
            <w:noWrap/>
            <w:vAlign w:val="center"/>
          </w:tcPr>
          <w:p w14:paraId="0814CF4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39.13</w:t>
            </w:r>
          </w:p>
        </w:tc>
        <w:tc>
          <w:tcPr>
            <w:tcW w:w="525" w:type="dxa"/>
            <w:noWrap/>
            <w:vAlign w:val="center"/>
          </w:tcPr>
          <w:p w14:paraId="0DFF3CF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81.70</w:t>
            </w:r>
          </w:p>
        </w:tc>
        <w:tc>
          <w:tcPr>
            <w:tcW w:w="630" w:type="dxa"/>
            <w:vAlign w:val="center"/>
          </w:tcPr>
          <w:p w14:paraId="236EFAC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147.33</w:t>
            </w:r>
          </w:p>
        </w:tc>
        <w:tc>
          <w:tcPr>
            <w:tcW w:w="510" w:type="dxa"/>
            <w:noWrap/>
            <w:vAlign w:val="center"/>
          </w:tcPr>
          <w:p w14:paraId="407A481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0E8DDDB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4.79</w:t>
            </w:r>
          </w:p>
        </w:tc>
        <w:tc>
          <w:tcPr>
            <w:tcW w:w="540" w:type="dxa"/>
            <w:vAlign w:val="center"/>
          </w:tcPr>
          <w:p w14:paraId="646BA81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4.79</w:t>
            </w:r>
          </w:p>
        </w:tc>
        <w:tc>
          <w:tcPr>
            <w:tcW w:w="540" w:type="dxa"/>
            <w:noWrap/>
            <w:vAlign w:val="center"/>
          </w:tcPr>
          <w:p w14:paraId="3A922FB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2.94</w:t>
            </w:r>
          </w:p>
        </w:tc>
        <w:tc>
          <w:tcPr>
            <w:tcW w:w="540" w:type="dxa"/>
            <w:noWrap/>
            <w:vAlign w:val="center"/>
          </w:tcPr>
          <w:p w14:paraId="3EC6CBD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78FCADD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2.94</w:t>
            </w:r>
          </w:p>
        </w:tc>
        <w:tc>
          <w:tcPr>
            <w:tcW w:w="675" w:type="dxa"/>
            <w:noWrap/>
            <w:vAlign w:val="center"/>
          </w:tcPr>
          <w:p w14:paraId="3719199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155.06</w:t>
            </w:r>
          </w:p>
        </w:tc>
        <w:tc>
          <w:tcPr>
            <w:tcW w:w="525" w:type="dxa"/>
            <w:vAlign w:val="center"/>
          </w:tcPr>
          <w:p w14:paraId="4E6EF5C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13.30</w:t>
            </w:r>
          </w:p>
        </w:tc>
        <w:tc>
          <w:tcPr>
            <w:tcW w:w="525" w:type="dxa"/>
            <w:noWrap/>
            <w:vAlign w:val="center"/>
          </w:tcPr>
          <w:p w14:paraId="62BDC53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14.79</w:t>
            </w:r>
          </w:p>
        </w:tc>
        <w:tc>
          <w:tcPr>
            <w:tcW w:w="525" w:type="dxa"/>
            <w:vAlign w:val="center"/>
          </w:tcPr>
          <w:p w14:paraId="53B3D2D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81.70</w:t>
            </w:r>
          </w:p>
        </w:tc>
        <w:tc>
          <w:tcPr>
            <w:tcW w:w="630" w:type="dxa"/>
            <w:vAlign w:val="center"/>
          </w:tcPr>
          <w:p w14:paraId="5012E0D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109.79</w:t>
            </w:r>
          </w:p>
        </w:tc>
        <w:tc>
          <w:tcPr>
            <w:tcW w:w="525" w:type="dxa"/>
            <w:vAlign w:val="center"/>
          </w:tcPr>
          <w:p w14:paraId="16DE7AE0">
            <w:pPr>
              <w:jc w:val="right"/>
              <w:rPr>
                <w:rFonts w:ascii="仿宋" w:hAnsi="仿宋" w:eastAsia="仿宋" w:cs="Times New Roman"/>
                <w:b/>
                <w:bCs/>
                <w:color w:val="000000"/>
                <w:sz w:val="10"/>
                <w:szCs w:val="10"/>
              </w:rPr>
            </w:pPr>
          </w:p>
        </w:tc>
        <w:tc>
          <w:tcPr>
            <w:tcW w:w="525" w:type="dxa"/>
            <w:vAlign w:val="center"/>
          </w:tcPr>
          <w:p w14:paraId="6DD9F43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4.79</w:t>
            </w:r>
          </w:p>
        </w:tc>
        <w:tc>
          <w:tcPr>
            <w:tcW w:w="525" w:type="dxa"/>
            <w:vAlign w:val="center"/>
          </w:tcPr>
          <w:p w14:paraId="3EF2111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4.79</w:t>
            </w:r>
          </w:p>
        </w:tc>
        <w:tc>
          <w:tcPr>
            <w:tcW w:w="525" w:type="dxa"/>
            <w:vAlign w:val="center"/>
          </w:tcPr>
          <w:p w14:paraId="11E593E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1.00</w:t>
            </w:r>
          </w:p>
        </w:tc>
        <w:tc>
          <w:tcPr>
            <w:tcW w:w="413" w:type="dxa"/>
            <w:vAlign w:val="center"/>
          </w:tcPr>
          <w:p w14:paraId="5429BA04">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4EAFD47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1.00</w:t>
            </w:r>
          </w:p>
        </w:tc>
        <w:tc>
          <w:tcPr>
            <w:tcW w:w="623" w:type="dxa"/>
            <w:noWrap/>
            <w:vAlign w:val="center"/>
          </w:tcPr>
          <w:p w14:paraId="1F17175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115.58</w:t>
            </w:r>
          </w:p>
        </w:tc>
        <w:tc>
          <w:tcPr>
            <w:tcW w:w="525" w:type="dxa"/>
            <w:vAlign w:val="center"/>
          </w:tcPr>
          <w:p w14:paraId="47E0777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13.20</w:t>
            </w:r>
          </w:p>
        </w:tc>
        <w:tc>
          <w:tcPr>
            <w:tcW w:w="469" w:type="dxa"/>
            <w:noWrap/>
            <w:vAlign w:val="center"/>
          </w:tcPr>
          <w:p w14:paraId="0CD4CA1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24.34</w:t>
            </w:r>
          </w:p>
        </w:tc>
        <w:tc>
          <w:tcPr>
            <w:tcW w:w="539" w:type="dxa"/>
            <w:vAlign w:val="center"/>
          </w:tcPr>
          <w:p w14:paraId="2B66803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37.54</w:t>
            </w:r>
          </w:p>
        </w:tc>
        <w:tc>
          <w:tcPr>
            <w:tcW w:w="672" w:type="dxa"/>
            <w:vAlign w:val="center"/>
          </w:tcPr>
          <w:p w14:paraId="13B18745">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03BC047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1.94</w:t>
            </w:r>
          </w:p>
        </w:tc>
        <w:tc>
          <w:tcPr>
            <w:tcW w:w="551" w:type="dxa"/>
            <w:noWrap/>
            <w:vAlign w:val="center"/>
          </w:tcPr>
          <w:p w14:paraId="3D658C1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39.48</w:t>
            </w:r>
          </w:p>
        </w:tc>
      </w:tr>
      <w:tr w14:paraId="584C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667CC818">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溧水区</w:t>
            </w:r>
          </w:p>
        </w:tc>
        <w:tc>
          <w:tcPr>
            <w:tcW w:w="525" w:type="dxa"/>
            <w:noWrap/>
            <w:vAlign w:val="center"/>
          </w:tcPr>
          <w:p w14:paraId="51C0DEB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24.00</w:t>
            </w:r>
          </w:p>
        </w:tc>
        <w:tc>
          <w:tcPr>
            <w:tcW w:w="525" w:type="dxa"/>
            <w:noWrap/>
            <w:vAlign w:val="center"/>
          </w:tcPr>
          <w:p w14:paraId="66EA902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27.13</w:t>
            </w:r>
          </w:p>
        </w:tc>
        <w:tc>
          <w:tcPr>
            <w:tcW w:w="525" w:type="dxa"/>
            <w:noWrap/>
            <w:vAlign w:val="center"/>
          </w:tcPr>
          <w:p w14:paraId="4724CAE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32.02</w:t>
            </w:r>
          </w:p>
        </w:tc>
        <w:tc>
          <w:tcPr>
            <w:tcW w:w="630" w:type="dxa"/>
            <w:vAlign w:val="center"/>
          </w:tcPr>
          <w:p w14:paraId="4435DAF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83.15</w:t>
            </w:r>
          </w:p>
        </w:tc>
        <w:tc>
          <w:tcPr>
            <w:tcW w:w="510" w:type="dxa"/>
            <w:noWrap/>
            <w:vAlign w:val="center"/>
          </w:tcPr>
          <w:p w14:paraId="4F52A0F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40" w:type="dxa"/>
            <w:noWrap/>
            <w:vAlign w:val="center"/>
          </w:tcPr>
          <w:p w14:paraId="694CB0B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16.63</w:t>
            </w:r>
          </w:p>
        </w:tc>
        <w:tc>
          <w:tcPr>
            <w:tcW w:w="540" w:type="dxa"/>
            <w:vAlign w:val="center"/>
          </w:tcPr>
          <w:p w14:paraId="0178478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18.63</w:t>
            </w:r>
          </w:p>
        </w:tc>
        <w:tc>
          <w:tcPr>
            <w:tcW w:w="540" w:type="dxa"/>
            <w:noWrap/>
            <w:vAlign w:val="center"/>
          </w:tcPr>
          <w:p w14:paraId="4BD9675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2.30</w:t>
            </w:r>
          </w:p>
        </w:tc>
        <w:tc>
          <w:tcPr>
            <w:tcW w:w="540" w:type="dxa"/>
            <w:noWrap/>
            <w:vAlign w:val="center"/>
          </w:tcPr>
          <w:p w14:paraId="4822DED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57CD29B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2.30</w:t>
            </w:r>
          </w:p>
        </w:tc>
        <w:tc>
          <w:tcPr>
            <w:tcW w:w="675" w:type="dxa"/>
            <w:noWrap/>
            <w:vAlign w:val="center"/>
          </w:tcPr>
          <w:p w14:paraId="5A15F3B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104.08</w:t>
            </w:r>
          </w:p>
        </w:tc>
        <w:tc>
          <w:tcPr>
            <w:tcW w:w="525" w:type="dxa"/>
            <w:vAlign w:val="center"/>
          </w:tcPr>
          <w:p w14:paraId="698DED8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24.00</w:t>
            </w:r>
          </w:p>
        </w:tc>
        <w:tc>
          <w:tcPr>
            <w:tcW w:w="525" w:type="dxa"/>
            <w:noWrap/>
            <w:vAlign w:val="center"/>
          </w:tcPr>
          <w:p w14:paraId="00333E9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27.13</w:t>
            </w:r>
          </w:p>
        </w:tc>
        <w:tc>
          <w:tcPr>
            <w:tcW w:w="525" w:type="dxa"/>
            <w:vAlign w:val="center"/>
          </w:tcPr>
          <w:p w14:paraId="1F8F88D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32.02</w:t>
            </w:r>
          </w:p>
        </w:tc>
        <w:tc>
          <w:tcPr>
            <w:tcW w:w="630" w:type="dxa"/>
            <w:vAlign w:val="center"/>
          </w:tcPr>
          <w:p w14:paraId="50F4643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83.15</w:t>
            </w:r>
          </w:p>
        </w:tc>
        <w:tc>
          <w:tcPr>
            <w:tcW w:w="525" w:type="dxa"/>
            <w:vAlign w:val="center"/>
          </w:tcPr>
          <w:p w14:paraId="60B7388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2.00</w:t>
            </w:r>
          </w:p>
        </w:tc>
        <w:tc>
          <w:tcPr>
            <w:tcW w:w="525" w:type="dxa"/>
            <w:vAlign w:val="center"/>
          </w:tcPr>
          <w:p w14:paraId="6EDEE9C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16.63</w:t>
            </w:r>
          </w:p>
        </w:tc>
        <w:tc>
          <w:tcPr>
            <w:tcW w:w="525" w:type="dxa"/>
            <w:vAlign w:val="center"/>
          </w:tcPr>
          <w:p w14:paraId="4C1C632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18.63</w:t>
            </w:r>
          </w:p>
        </w:tc>
        <w:tc>
          <w:tcPr>
            <w:tcW w:w="525" w:type="dxa"/>
            <w:vAlign w:val="center"/>
          </w:tcPr>
          <w:p w14:paraId="4B933E7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2.30</w:t>
            </w:r>
          </w:p>
        </w:tc>
        <w:tc>
          <w:tcPr>
            <w:tcW w:w="413" w:type="dxa"/>
            <w:vAlign w:val="center"/>
          </w:tcPr>
          <w:p w14:paraId="46359750">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38C4876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2.30</w:t>
            </w:r>
          </w:p>
        </w:tc>
        <w:tc>
          <w:tcPr>
            <w:tcW w:w="623" w:type="dxa"/>
            <w:noWrap/>
            <w:vAlign w:val="center"/>
          </w:tcPr>
          <w:p w14:paraId="6D48D62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104.08</w:t>
            </w:r>
          </w:p>
        </w:tc>
        <w:tc>
          <w:tcPr>
            <w:tcW w:w="525" w:type="dxa"/>
            <w:vAlign w:val="center"/>
          </w:tcPr>
          <w:p w14:paraId="460C4DFC">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69" w:type="dxa"/>
            <w:noWrap/>
            <w:vAlign w:val="center"/>
          </w:tcPr>
          <w:p w14:paraId="36880BC6">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1FFFE08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2" w:type="dxa"/>
            <w:vAlign w:val="center"/>
          </w:tcPr>
          <w:p w14:paraId="2F4ACB0A">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6B3DC333">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2012FF9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r>
      <w:tr w14:paraId="00B7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780987F7">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高淳区</w:t>
            </w:r>
          </w:p>
        </w:tc>
        <w:tc>
          <w:tcPr>
            <w:tcW w:w="525" w:type="dxa"/>
            <w:noWrap/>
            <w:vAlign w:val="center"/>
          </w:tcPr>
          <w:p w14:paraId="7C24A62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18.82</w:t>
            </w:r>
          </w:p>
        </w:tc>
        <w:tc>
          <w:tcPr>
            <w:tcW w:w="525" w:type="dxa"/>
            <w:noWrap/>
            <w:vAlign w:val="center"/>
          </w:tcPr>
          <w:p w14:paraId="5EF44E9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21.43</w:t>
            </w:r>
          </w:p>
        </w:tc>
        <w:tc>
          <w:tcPr>
            <w:tcW w:w="525" w:type="dxa"/>
            <w:noWrap/>
            <w:vAlign w:val="center"/>
          </w:tcPr>
          <w:p w14:paraId="64813C0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24.00</w:t>
            </w:r>
          </w:p>
        </w:tc>
        <w:tc>
          <w:tcPr>
            <w:tcW w:w="630" w:type="dxa"/>
            <w:vAlign w:val="center"/>
          </w:tcPr>
          <w:p w14:paraId="2DBD6B6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64.25</w:t>
            </w:r>
          </w:p>
        </w:tc>
        <w:tc>
          <w:tcPr>
            <w:tcW w:w="510" w:type="dxa"/>
            <w:noWrap/>
            <w:vAlign w:val="center"/>
          </w:tcPr>
          <w:p w14:paraId="25949D0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1.69</w:t>
            </w:r>
          </w:p>
        </w:tc>
        <w:tc>
          <w:tcPr>
            <w:tcW w:w="540" w:type="dxa"/>
            <w:noWrap/>
            <w:vAlign w:val="center"/>
          </w:tcPr>
          <w:p w14:paraId="7FCF659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23.00</w:t>
            </w:r>
          </w:p>
        </w:tc>
        <w:tc>
          <w:tcPr>
            <w:tcW w:w="540" w:type="dxa"/>
            <w:vAlign w:val="center"/>
          </w:tcPr>
          <w:p w14:paraId="37E7F82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24.69</w:t>
            </w:r>
          </w:p>
        </w:tc>
        <w:tc>
          <w:tcPr>
            <w:tcW w:w="540" w:type="dxa"/>
            <w:noWrap/>
            <w:vAlign w:val="center"/>
          </w:tcPr>
          <w:p w14:paraId="206B4D2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1.31</w:t>
            </w:r>
          </w:p>
        </w:tc>
        <w:tc>
          <w:tcPr>
            <w:tcW w:w="540" w:type="dxa"/>
            <w:noWrap/>
            <w:vAlign w:val="center"/>
          </w:tcPr>
          <w:p w14:paraId="334C99FD">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1B969BA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1.31</w:t>
            </w:r>
          </w:p>
        </w:tc>
        <w:tc>
          <w:tcPr>
            <w:tcW w:w="675" w:type="dxa"/>
            <w:noWrap/>
            <w:vAlign w:val="center"/>
          </w:tcPr>
          <w:p w14:paraId="1FF4894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90.25</w:t>
            </w:r>
          </w:p>
        </w:tc>
        <w:tc>
          <w:tcPr>
            <w:tcW w:w="525" w:type="dxa"/>
            <w:vAlign w:val="center"/>
          </w:tcPr>
          <w:p w14:paraId="671D9FB7">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18.82</w:t>
            </w:r>
          </w:p>
        </w:tc>
        <w:tc>
          <w:tcPr>
            <w:tcW w:w="525" w:type="dxa"/>
            <w:noWrap/>
            <w:vAlign w:val="center"/>
          </w:tcPr>
          <w:p w14:paraId="29A2486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21.43</w:t>
            </w:r>
          </w:p>
        </w:tc>
        <w:tc>
          <w:tcPr>
            <w:tcW w:w="525" w:type="dxa"/>
            <w:vAlign w:val="center"/>
          </w:tcPr>
          <w:p w14:paraId="073569E9">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24.00</w:t>
            </w:r>
          </w:p>
        </w:tc>
        <w:tc>
          <w:tcPr>
            <w:tcW w:w="630" w:type="dxa"/>
            <w:vAlign w:val="center"/>
          </w:tcPr>
          <w:p w14:paraId="205C8A51">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64.25</w:t>
            </w:r>
          </w:p>
        </w:tc>
        <w:tc>
          <w:tcPr>
            <w:tcW w:w="525" w:type="dxa"/>
            <w:vAlign w:val="center"/>
          </w:tcPr>
          <w:p w14:paraId="4C37E97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1.69</w:t>
            </w:r>
          </w:p>
        </w:tc>
        <w:tc>
          <w:tcPr>
            <w:tcW w:w="525" w:type="dxa"/>
            <w:vAlign w:val="center"/>
          </w:tcPr>
          <w:p w14:paraId="39D02A6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23.00</w:t>
            </w:r>
          </w:p>
        </w:tc>
        <w:tc>
          <w:tcPr>
            <w:tcW w:w="525" w:type="dxa"/>
            <w:vAlign w:val="center"/>
          </w:tcPr>
          <w:p w14:paraId="28BC7E5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24.69</w:t>
            </w:r>
          </w:p>
        </w:tc>
        <w:tc>
          <w:tcPr>
            <w:tcW w:w="525" w:type="dxa"/>
            <w:vAlign w:val="center"/>
          </w:tcPr>
          <w:p w14:paraId="0B96558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1.31</w:t>
            </w:r>
          </w:p>
        </w:tc>
        <w:tc>
          <w:tcPr>
            <w:tcW w:w="413" w:type="dxa"/>
            <w:vAlign w:val="center"/>
          </w:tcPr>
          <w:p w14:paraId="1E7787A8">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4512004F">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1.31</w:t>
            </w:r>
          </w:p>
        </w:tc>
        <w:tc>
          <w:tcPr>
            <w:tcW w:w="623" w:type="dxa"/>
            <w:noWrap/>
            <w:vAlign w:val="center"/>
          </w:tcPr>
          <w:p w14:paraId="656C097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90.25</w:t>
            </w:r>
          </w:p>
        </w:tc>
        <w:tc>
          <w:tcPr>
            <w:tcW w:w="525" w:type="dxa"/>
            <w:vAlign w:val="center"/>
          </w:tcPr>
          <w:p w14:paraId="68D981D9">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469" w:type="dxa"/>
            <w:noWrap/>
            <w:vAlign w:val="center"/>
          </w:tcPr>
          <w:p w14:paraId="727977F6">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4394A9D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672" w:type="dxa"/>
            <w:vAlign w:val="center"/>
          </w:tcPr>
          <w:p w14:paraId="3462B7C2">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406D1BE1">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51" w:type="dxa"/>
            <w:noWrap/>
            <w:vAlign w:val="center"/>
          </w:tcPr>
          <w:p w14:paraId="729CB3D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r>
      <w:tr w14:paraId="39FF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7D0E937F">
            <w:pPr>
              <w:widowControl/>
              <w:jc w:val="center"/>
              <w:textAlignment w:val="center"/>
              <w:rPr>
                <w:rFonts w:ascii="仿宋" w:hAnsi="仿宋" w:eastAsia="仿宋" w:cs="Times New Roman"/>
                <w:b/>
                <w:bCs/>
                <w:color w:val="000000"/>
                <w:kern w:val="0"/>
                <w:sz w:val="10"/>
                <w:szCs w:val="10"/>
              </w:rPr>
            </w:pPr>
            <w:r>
              <w:rPr>
                <w:rFonts w:hint="eastAsia" w:ascii="仿宋" w:hAnsi="仿宋" w:eastAsia="仿宋" w:cs="仿宋"/>
                <w:b/>
                <w:bCs/>
                <w:color w:val="000000"/>
                <w:kern w:val="0"/>
                <w:sz w:val="10"/>
                <w:szCs w:val="10"/>
              </w:rPr>
              <w:t>江北</w:t>
            </w:r>
          </w:p>
          <w:p w14:paraId="6985E8F0">
            <w:pPr>
              <w:widowControl/>
              <w:jc w:val="center"/>
              <w:textAlignment w:val="center"/>
              <w:rPr>
                <w:rFonts w:ascii="仿宋" w:hAnsi="仿宋" w:eastAsia="仿宋" w:cs="Times New Roman"/>
                <w:b/>
                <w:bCs/>
                <w:color w:val="000000"/>
                <w:sz w:val="10"/>
                <w:szCs w:val="10"/>
              </w:rPr>
            </w:pPr>
            <w:r>
              <w:rPr>
                <w:rFonts w:hint="eastAsia" w:ascii="仿宋" w:hAnsi="仿宋" w:eastAsia="仿宋" w:cs="仿宋"/>
                <w:b/>
                <w:bCs/>
                <w:color w:val="000000"/>
                <w:kern w:val="0"/>
                <w:sz w:val="10"/>
                <w:szCs w:val="10"/>
              </w:rPr>
              <w:t>新区</w:t>
            </w:r>
          </w:p>
        </w:tc>
        <w:tc>
          <w:tcPr>
            <w:tcW w:w="525" w:type="dxa"/>
            <w:noWrap/>
            <w:vAlign w:val="center"/>
          </w:tcPr>
          <w:p w14:paraId="6BB4192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16.27</w:t>
            </w:r>
          </w:p>
        </w:tc>
        <w:tc>
          <w:tcPr>
            <w:tcW w:w="525" w:type="dxa"/>
            <w:noWrap/>
            <w:vAlign w:val="center"/>
          </w:tcPr>
          <w:p w14:paraId="1B409E2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5.14</w:t>
            </w:r>
          </w:p>
        </w:tc>
        <w:tc>
          <w:tcPr>
            <w:tcW w:w="525" w:type="dxa"/>
            <w:noWrap/>
            <w:vAlign w:val="center"/>
          </w:tcPr>
          <w:p w14:paraId="72211D3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23.90</w:t>
            </w:r>
          </w:p>
        </w:tc>
        <w:tc>
          <w:tcPr>
            <w:tcW w:w="630" w:type="dxa"/>
            <w:vAlign w:val="center"/>
          </w:tcPr>
          <w:p w14:paraId="3598862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45.31</w:t>
            </w:r>
          </w:p>
        </w:tc>
        <w:tc>
          <w:tcPr>
            <w:tcW w:w="510" w:type="dxa"/>
            <w:noWrap/>
            <w:vAlign w:val="center"/>
          </w:tcPr>
          <w:p w14:paraId="7A2E0345">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022CC42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285C6BA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noWrap/>
            <w:vAlign w:val="center"/>
          </w:tcPr>
          <w:p w14:paraId="349BAF2A">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1.53</w:t>
            </w:r>
          </w:p>
        </w:tc>
        <w:tc>
          <w:tcPr>
            <w:tcW w:w="540" w:type="dxa"/>
            <w:noWrap/>
            <w:vAlign w:val="center"/>
          </w:tcPr>
          <w:p w14:paraId="3ADF959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40" w:type="dxa"/>
            <w:vAlign w:val="center"/>
          </w:tcPr>
          <w:p w14:paraId="63A9C98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1.53</w:t>
            </w:r>
          </w:p>
        </w:tc>
        <w:tc>
          <w:tcPr>
            <w:tcW w:w="675" w:type="dxa"/>
            <w:noWrap/>
            <w:vAlign w:val="center"/>
          </w:tcPr>
          <w:p w14:paraId="6B82E4D3">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46.84</w:t>
            </w:r>
          </w:p>
        </w:tc>
        <w:tc>
          <w:tcPr>
            <w:tcW w:w="525" w:type="dxa"/>
            <w:vAlign w:val="center"/>
          </w:tcPr>
          <w:p w14:paraId="4428BCB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7.45</w:t>
            </w:r>
          </w:p>
        </w:tc>
        <w:tc>
          <w:tcPr>
            <w:tcW w:w="525" w:type="dxa"/>
            <w:noWrap/>
            <w:vAlign w:val="center"/>
          </w:tcPr>
          <w:p w14:paraId="13D2B60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5.14</w:t>
            </w:r>
          </w:p>
        </w:tc>
        <w:tc>
          <w:tcPr>
            <w:tcW w:w="525" w:type="dxa"/>
            <w:vAlign w:val="center"/>
          </w:tcPr>
          <w:p w14:paraId="0EC780E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23.90</w:t>
            </w:r>
          </w:p>
        </w:tc>
        <w:tc>
          <w:tcPr>
            <w:tcW w:w="630" w:type="dxa"/>
            <w:vAlign w:val="center"/>
          </w:tcPr>
          <w:p w14:paraId="423BCFE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36.49</w:t>
            </w:r>
          </w:p>
        </w:tc>
        <w:tc>
          <w:tcPr>
            <w:tcW w:w="525" w:type="dxa"/>
            <w:vAlign w:val="center"/>
          </w:tcPr>
          <w:p w14:paraId="06D888D6">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25" w:type="dxa"/>
            <w:vAlign w:val="center"/>
          </w:tcPr>
          <w:p w14:paraId="54E59952">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25" w:type="dxa"/>
            <w:vAlign w:val="center"/>
          </w:tcPr>
          <w:p w14:paraId="3940F2F0">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w:t>
            </w:r>
          </w:p>
        </w:tc>
        <w:tc>
          <w:tcPr>
            <w:tcW w:w="525" w:type="dxa"/>
            <w:vAlign w:val="center"/>
          </w:tcPr>
          <w:p w14:paraId="1E2CABA4">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1.32</w:t>
            </w:r>
          </w:p>
        </w:tc>
        <w:tc>
          <w:tcPr>
            <w:tcW w:w="413" w:type="dxa"/>
            <w:vAlign w:val="center"/>
          </w:tcPr>
          <w:p w14:paraId="07D7E7D5">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0594670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1.32</w:t>
            </w:r>
          </w:p>
        </w:tc>
        <w:tc>
          <w:tcPr>
            <w:tcW w:w="623" w:type="dxa"/>
            <w:noWrap/>
            <w:vAlign w:val="center"/>
          </w:tcPr>
          <w:p w14:paraId="00A9B39C">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37.81</w:t>
            </w:r>
          </w:p>
        </w:tc>
        <w:tc>
          <w:tcPr>
            <w:tcW w:w="525" w:type="dxa"/>
            <w:vAlign w:val="center"/>
          </w:tcPr>
          <w:p w14:paraId="7DB6E4A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8.82</w:t>
            </w:r>
          </w:p>
        </w:tc>
        <w:tc>
          <w:tcPr>
            <w:tcW w:w="469" w:type="dxa"/>
            <w:noWrap/>
            <w:vAlign w:val="center"/>
          </w:tcPr>
          <w:p w14:paraId="32587574">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548E673E">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8.82</w:t>
            </w:r>
          </w:p>
        </w:tc>
        <w:tc>
          <w:tcPr>
            <w:tcW w:w="672" w:type="dxa"/>
            <w:vAlign w:val="center"/>
          </w:tcPr>
          <w:p w14:paraId="2E470BEA">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709" w:type="dxa"/>
            <w:vAlign w:val="center"/>
          </w:tcPr>
          <w:p w14:paraId="6BA458E8">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0.21</w:t>
            </w:r>
          </w:p>
        </w:tc>
        <w:tc>
          <w:tcPr>
            <w:tcW w:w="551" w:type="dxa"/>
            <w:noWrap/>
            <w:vAlign w:val="center"/>
          </w:tcPr>
          <w:p w14:paraId="2051286B">
            <w:pPr>
              <w:widowControl/>
              <w:jc w:val="right"/>
              <w:textAlignment w:val="center"/>
              <w:rPr>
                <w:rFonts w:ascii="仿宋" w:hAnsi="仿宋" w:eastAsia="仿宋" w:cs="Times New Roman"/>
                <w:b/>
                <w:bCs/>
                <w:color w:val="000000"/>
                <w:sz w:val="10"/>
                <w:szCs w:val="10"/>
              </w:rPr>
            </w:pPr>
            <w:r>
              <w:rPr>
                <w:rFonts w:ascii="仿宋" w:hAnsi="仿宋" w:eastAsia="仿宋" w:cs="仿宋"/>
                <w:b/>
                <w:bCs/>
                <w:color w:val="000000"/>
                <w:kern w:val="0"/>
                <w:sz w:val="10"/>
                <w:szCs w:val="10"/>
              </w:rPr>
              <w:t>9.03</w:t>
            </w:r>
          </w:p>
        </w:tc>
      </w:tr>
      <w:tr w14:paraId="5A6A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5" w:type="dxa"/>
            <w:vAlign w:val="center"/>
          </w:tcPr>
          <w:p w14:paraId="3744AEFD">
            <w:pPr>
              <w:widowControl/>
              <w:textAlignment w:val="center"/>
              <w:rPr>
                <w:rFonts w:ascii="仿宋" w:hAnsi="仿宋" w:eastAsia="仿宋" w:cs="Times New Roman"/>
                <w:b/>
                <w:bCs/>
                <w:color w:val="000000"/>
                <w:kern w:val="0"/>
                <w:sz w:val="10"/>
                <w:szCs w:val="10"/>
              </w:rPr>
            </w:pPr>
            <w:r>
              <w:rPr>
                <w:rFonts w:hint="eastAsia" w:ascii="仿宋" w:hAnsi="仿宋" w:eastAsia="仿宋" w:cs="仿宋"/>
                <w:b/>
                <w:bCs/>
                <w:color w:val="000000"/>
                <w:kern w:val="0"/>
                <w:sz w:val="10"/>
                <w:szCs w:val="10"/>
              </w:rPr>
              <w:t>合计</w:t>
            </w:r>
          </w:p>
        </w:tc>
        <w:tc>
          <w:tcPr>
            <w:tcW w:w="525" w:type="dxa"/>
            <w:noWrap/>
            <w:vAlign w:val="center"/>
          </w:tcPr>
          <w:p w14:paraId="66451652">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316.58</w:t>
            </w:r>
          </w:p>
        </w:tc>
        <w:tc>
          <w:tcPr>
            <w:tcW w:w="525" w:type="dxa"/>
            <w:noWrap/>
            <w:vAlign w:val="center"/>
          </w:tcPr>
          <w:p w14:paraId="0A0AB810">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248.07</w:t>
            </w:r>
          </w:p>
        </w:tc>
        <w:tc>
          <w:tcPr>
            <w:tcW w:w="525" w:type="dxa"/>
            <w:noWrap/>
            <w:vAlign w:val="center"/>
          </w:tcPr>
          <w:p w14:paraId="611A2DF1">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836.75</w:t>
            </w:r>
          </w:p>
        </w:tc>
        <w:tc>
          <w:tcPr>
            <w:tcW w:w="630" w:type="dxa"/>
            <w:vAlign w:val="center"/>
          </w:tcPr>
          <w:p w14:paraId="6DD50AB8">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1401.39</w:t>
            </w:r>
          </w:p>
        </w:tc>
        <w:tc>
          <w:tcPr>
            <w:tcW w:w="510" w:type="dxa"/>
            <w:noWrap/>
            <w:vAlign w:val="center"/>
          </w:tcPr>
          <w:p w14:paraId="72E667CE">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22.69</w:t>
            </w:r>
          </w:p>
        </w:tc>
        <w:tc>
          <w:tcPr>
            <w:tcW w:w="540" w:type="dxa"/>
            <w:noWrap/>
            <w:vAlign w:val="center"/>
          </w:tcPr>
          <w:p w14:paraId="75447A19">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607.82</w:t>
            </w:r>
          </w:p>
        </w:tc>
        <w:tc>
          <w:tcPr>
            <w:tcW w:w="540" w:type="dxa"/>
            <w:vAlign w:val="center"/>
          </w:tcPr>
          <w:p w14:paraId="74EB0701">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630.51</w:t>
            </w:r>
          </w:p>
        </w:tc>
        <w:tc>
          <w:tcPr>
            <w:tcW w:w="540" w:type="dxa"/>
            <w:noWrap/>
            <w:vAlign w:val="center"/>
          </w:tcPr>
          <w:p w14:paraId="748CA721">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11.89</w:t>
            </w:r>
          </w:p>
        </w:tc>
        <w:tc>
          <w:tcPr>
            <w:tcW w:w="540" w:type="dxa"/>
            <w:noWrap/>
            <w:vAlign w:val="center"/>
          </w:tcPr>
          <w:p w14:paraId="0B29166E">
            <w:pPr>
              <w:widowControl/>
              <w:jc w:val="right"/>
              <w:textAlignment w:val="center"/>
              <w:rPr>
                <w:rFonts w:ascii="仿宋" w:hAnsi="仿宋" w:eastAsia="仿宋" w:cs="Times New Roman"/>
                <w:b/>
                <w:bCs/>
                <w:color w:val="000000"/>
                <w:kern w:val="0"/>
                <w:sz w:val="10"/>
                <w:szCs w:val="10"/>
              </w:rPr>
            </w:pPr>
          </w:p>
        </w:tc>
        <w:tc>
          <w:tcPr>
            <w:tcW w:w="540" w:type="dxa"/>
            <w:vAlign w:val="center"/>
          </w:tcPr>
          <w:p w14:paraId="6B71F44E">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11.89</w:t>
            </w:r>
          </w:p>
        </w:tc>
        <w:tc>
          <w:tcPr>
            <w:tcW w:w="675" w:type="dxa"/>
            <w:noWrap/>
            <w:vAlign w:val="center"/>
          </w:tcPr>
          <w:p w14:paraId="3A5FB0AE">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2043.79</w:t>
            </w:r>
          </w:p>
        </w:tc>
        <w:tc>
          <w:tcPr>
            <w:tcW w:w="525" w:type="dxa"/>
            <w:vAlign w:val="center"/>
          </w:tcPr>
          <w:p w14:paraId="3D2E0E57">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247.46</w:t>
            </w:r>
          </w:p>
        </w:tc>
        <w:tc>
          <w:tcPr>
            <w:tcW w:w="525" w:type="dxa"/>
            <w:noWrap/>
            <w:vAlign w:val="center"/>
          </w:tcPr>
          <w:p w14:paraId="2B8FBA4F">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166.95</w:t>
            </w:r>
          </w:p>
        </w:tc>
        <w:tc>
          <w:tcPr>
            <w:tcW w:w="525" w:type="dxa"/>
            <w:vAlign w:val="center"/>
          </w:tcPr>
          <w:p w14:paraId="68AFA898">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836.75</w:t>
            </w:r>
          </w:p>
        </w:tc>
        <w:tc>
          <w:tcPr>
            <w:tcW w:w="630" w:type="dxa"/>
            <w:vAlign w:val="center"/>
          </w:tcPr>
          <w:p w14:paraId="02329A48">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1251.15</w:t>
            </w:r>
          </w:p>
        </w:tc>
        <w:tc>
          <w:tcPr>
            <w:tcW w:w="525" w:type="dxa"/>
            <w:vAlign w:val="center"/>
          </w:tcPr>
          <w:p w14:paraId="79F9C57B">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17.69</w:t>
            </w:r>
          </w:p>
        </w:tc>
        <w:tc>
          <w:tcPr>
            <w:tcW w:w="525" w:type="dxa"/>
            <w:vAlign w:val="center"/>
          </w:tcPr>
          <w:p w14:paraId="07B1453A">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607.82</w:t>
            </w:r>
          </w:p>
        </w:tc>
        <w:tc>
          <w:tcPr>
            <w:tcW w:w="525" w:type="dxa"/>
            <w:vAlign w:val="center"/>
          </w:tcPr>
          <w:p w14:paraId="07EF0883">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625.51</w:t>
            </w:r>
          </w:p>
        </w:tc>
        <w:tc>
          <w:tcPr>
            <w:tcW w:w="525" w:type="dxa"/>
            <w:vAlign w:val="center"/>
          </w:tcPr>
          <w:p w14:paraId="095570C9">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9.63</w:t>
            </w:r>
          </w:p>
        </w:tc>
        <w:tc>
          <w:tcPr>
            <w:tcW w:w="413" w:type="dxa"/>
            <w:vAlign w:val="center"/>
          </w:tcPr>
          <w:p w14:paraId="186EB9FC">
            <w:pPr>
              <w:jc w:val="right"/>
              <w:rPr>
                <w:rFonts w:ascii="仿宋" w:hAnsi="仿宋" w:eastAsia="仿宋" w:cs="仿宋"/>
                <w:b/>
                <w:bCs/>
                <w:color w:val="000000"/>
                <w:sz w:val="10"/>
                <w:szCs w:val="10"/>
              </w:rPr>
            </w:pPr>
            <w:r>
              <w:rPr>
                <w:rFonts w:ascii="仿宋" w:hAnsi="仿宋" w:eastAsia="仿宋" w:cs="仿宋"/>
                <w:b/>
                <w:bCs/>
                <w:color w:val="000000"/>
                <w:sz w:val="10"/>
                <w:szCs w:val="10"/>
              </w:rPr>
              <w:t>-</w:t>
            </w:r>
          </w:p>
        </w:tc>
        <w:tc>
          <w:tcPr>
            <w:tcW w:w="539" w:type="dxa"/>
            <w:vAlign w:val="center"/>
          </w:tcPr>
          <w:p w14:paraId="29F6051A">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9.63</w:t>
            </w:r>
          </w:p>
        </w:tc>
        <w:tc>
          <w:tcPr>
            <w:tcW w:w="623" w:type="dxa"/>
            <w:noWrap/>
            <w:vAlign w:val="center"/>
          </w:tcPr>
          <w:p w14:paraId="3F471AF8">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1886.29</w:t>
            </w:r>
          </w:p>
        </w:tc>
        <w:tc>
          <w:tcPr>
            <w:tcW w:w="525" w:type="dxa"/>
            <w:vAlign w:val="center"/>
          </w:tcPr>
          <w:p w14:paraId="2C7323F1">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69.12</w:t>
            </w:r>
          </w:p>
        </w:tc>
        <w:tc>
          <w:tcPr>
            <w:tcW w:w="469" w:type="dxa"/>
            <w:noWrap/>
            <w:vAlign w:val="center"/>
          </w:tcPr>
          <w:p w14:paraId="1F3C6DFE">
            <w:pPr>
              <w:jc w:val="right"/>
              <w:rPr>
                <w:rFonts w:ascii="仿宋" w:hAnsi="仿宋" w:eastAsia="仿宋" w:cs="仿宋"/>
                <w:b/>
                <w:bCs/>
                <w:color w:val="000000"/>
                <w:sz w:val="10"/>
                <w:szCs w:val="10"/>
              </w:rPr>
            </w:pPr>
            <w:r>
              <w:rPr>
                <w:rFonts w:ascii="仿宋" w:hAnsi="仿宋" w:eastAsia="仿宋" w:cs="仿宋"/>
                <w:b/>
                <w:bCs/>
                <w:color w:val="000000"/>
                <w:sz w:val="10"/>
                <w:szCs w:val="10"/>
              </w:rPr>
              <w:t>81.13</w:t>
            </w:r>
          </w:p>
        </w:tc>
        <w:tc>
          <w:tcPr>
            <w:tcW w:w="539" w:type="dxa"/>
            <w:vAlign w:val="center"/>
          </w:tcPr>
          <w:p w14:paraId="27A04802">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150.24</w:t>
            </w:r>
          </w:p>
        </w:tc>
        <w:tc>
          <w:tcPr>
            <w:tcW w:w="672" w:type="dxa"/>
            <w:vAlign w:val="center"/>
          </w:tcPr>
          <w:p w14:paraId="5DE4F7F4">
            <w:pPr>
              <w:jc w:val="right"/>
              <w:rPr>
                <w:rFonts w:ascii="仿宋" w:hAnsi="仿宋" w:eastAsia="仿宋" w:cs="仿宋"/>
                <w:b/>
                <w:bCs/>
                <w:color w:val="000000"/>
                <w:sz w:val="10"/>
                <w:szCs w:val="10"/>
              </w:rPr>
            </w:pPr>
            <w:r>
              <w:rPr>
                <w:rFonts w:ascii="仿宋" w:hAnsi="仿宋" w:eastAsia="仿宋" w:cs="仿宋"/>
                <w:b/>
                <w:bCs/>
                <w:color w:val="000000"/>
                <w:sz w:val="10"/>
                <w:szCs w:val="10"/>
              </w:rPr>
              <w:t>5.00</w:t>
            </w:r>
          </w:p>
        </w:tc>
        <w:tc>
          <w:tcPr>
            <w:tcW w:w="709" w:type="dxa"/>
            <w:vAlign w:val="center"/>
          </w:tcPr>
          <w:p w14:paraId="6DA8E5ED">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2.26</w:t>
            </w:r>
          </w:p>
        </w:tc>
        <w:tc>
          <w:tcPr>
            <w:tcW w:w="551" w:type="dxa"/>
            <w:noWrap/>
            <w:vAlign w:val="center"/>
          </w:tcPr>
          <w:p w14:paraId="008B9EF5">
            <w:pPr>
              <w:widowControl/>
              <w:jc w:val="right"/>
              <w:textAlignment w:val="center"/>
              <w:rPr>
                <w:rFonts w:ascii="仿宋" w:hAnsi="仿宋" w:eastAsia="仿宋" w:cs="仿宋"/>
                <w:b/>
                <w:bCs/>
                <w:color w:val="000000"/>
                <w:kern w:val="0"/>
                <w:sz w:val="10"/>
                <w:szCs w:val="10"/>
              </w:rPr>
            </w:pPr>
            <w:r>
              <w:rPr>
                <w:rFonts w:ascii="仿宋" w:hAnsi="仿宋" w:eastAsia="仿宋" w:cs="仿宋"/>
                <w:b/>
                <w:bCs/>
                <w:color w:val="000000"/>
                <w:kern w:val="0"/>
                <w:sz w:val="10"/>
                <w:szCs w:val="10"/>
              </w:rPr>
              <w:t>157.5</w:t>
            </w:r>
          </w:p>
        </w:tc>
      </w:tr>
    </w:tbl>
    <w:p w14:paraId="2E502D00">
      <w:pPr>
        <w:ind w:firstLine="482" w:firstLineChars="200"/>
        <w:jc w:val="center"/>
        <w:rPr>
          <w:rFonts w:ascii="仿宋_GB2312" w:hAnsi="Times New Roman" w:eastAsia="仿宋_GB2312" w:cs="Times New Roman"/>
          <w:b/>
          <w:bCs/>
          <w:sz w:val="24"/>
          <w:szCs w:val="24"/>
        </w:rPr>
      </w:pPr>
      <w:r>
        <w:rPr>
          <w:rFonts w:ascii="仿宋_GB2312" w:hAnsi="Times New Roman" w:eastAsia="仿宋_GB2312" w:cs="仿宋_GB2312"/>
          <w:b/>
          <w:bCs/>
          <w:sz w:val="24"/>
          <w:szCs w:val="24"/>
        </w:rPr>
        <w:t>2025</w:t>
      </w:r>
      <w:r>
        <w:rPr>
          <w:rFonts w:hint="eastAsia" w:ascii="仿宋_GB2312" w:hAnsi="Times New Roman" w:eastAsia="仿宋_GB2312" w:cs="仿宋_GB2312"/>
          <w:b/>
          <w:bCs/>
          <w:sz w:val="24"/>
          <w:szCs w:val="24"/>
        </w:rPr>
        <w:t>年度社区矫正和人民调解补助资金实际使用情况表</w:t>
      </w:r>
    </w:p>
    <w:p w14:paraId="008C9027">
      <w:pPr>
        <w:ind w:firstLine="422" w:firstLineChars="200"/>
        <w:jc w:val="center"/>
        <w:rPr>
          <w:rFonts w:ascii="Times New Roman" w:hAnsi="Times New Roman" w:eastAsia="仿宋" w:cs="Times New Roman"/>
        </w:rPr>
      </w:pPr>
      <w:r>
        <w:rPr>
          <w:rFonts w:hint="eastAsia" w:ascii="仿宋_GB2312" w:hAnsi="Times New Roman" w:eastAsia="仿宋_GB2312" w:cs="仿宋_GB2312"/>
          <w:b/>
          <w:bCs/>
        </w:rPr>
        <w:t>单位：万元</w:t>
      </w:r>
    </w:p>
    <w:p w14:paraId="16890505">
      <w:pPr>
        <w:ind w:firstLine="560" w:firstLineChars="200"/>
        <w:rPr>
          <w:rFonts w:ascii="Times New Roman" w:hAnsi="Times New Roman" w:eastAsia="仿宋" w:cs="Times New Roman"/>
          <w:sz w:val="28"/>
          <w:szCs w:val="28"/>
        </w:rPr>
        <w:sectPr>
          <w:pgSz w:w="16838" w:h="11906" w:orient="landscape"/>
          <w:pgMar w:top="1800" w:right="1440" w:bottom="1800" w:left="1440" w:header="851" w:footer="992" w:gutter="0"/>
          <w:cols w:space="425" w:num="1"/>
          <w:docGrid w:type="lines" w:linePitch="312" w:charSpace="0"/>
        </w:sectPr>
      </w:pPr>
    </w:p>
    <w:p w14:paraId="562D206C">
      <w:pPr>
        <w:numPr>
          <w:ilvl w:val="0"/>
          <w:numId w:val="2"/>
        </w:numPr>
        <w:spacing w:line="560" w:lineRule="exact"/>
        <w:ind w:left="560"/>
        <w:outlineLvl w:val="1"/>
        <w:rPr>
          <w:rFonts w:ascii="仿宋_GB2312" w:hAnsi="Times New Roman" w:eastAsia="仿宋_GB2312" w:cs="Times New Roman"/>
          <w:b/>
          <w:bCs/>
          <w:sz w:val="32"/>
          <w:szCs w:val="32"/>
        </w:rPr>
      </w:pPr>
      <w:bookmarkStart w:id="9" w:name="_Toc17690"/>
      <w:r>
        <w:rPr>
          <w:rFonts w:hint="eastAsia" w:ascii="仿宋_GB2312" w:hAnsi="Times New Roman" w:eastAsia="仿宋_GB2312" w:cs="仿宋_GB2312"/>
          <w:b/>
          <w:bCs/>
          <w:sz w:val="32"/>
          <w:szCs w:val="32"/>
        </w:rPr>
        <w:t>政策组织管理</w:t>
      </w:r>
      <w:bookmarkEnd w:id="9"/>
    </w:p>
    <w:p w14:paraId="2FC5BF56">
      <w:pPr>
        <w:pStyle w:val="27"/>
        <w:numPr>
          <w:ilvl w:val="0"/>
          <w:numId w:val="3"/>
        </w:numPr>
        <w:spacing w:line="560" w:lineRule="exact"/>
        <w:ind w:firstLineChars="0"/>
        <w:rPr>
          <w:rFonts w:ascii="仿宋_GB2312" w:hAnsi="Times New Roman" w:eastAsia="仿宋_GB2312" w:cs="Times New Roman"/>
          <w:b/>
          <w:bCs/>
          <w:sz w:val="32"/>
          <w:szCs w:val="32"/>
        </w:rPr>
      </w:pPr>
      <w:r>
        <w:rPr>
          <w:rFonts w:hint="eastAsia" w:ascii="仿宋_GB2312" w:hAnsi="Times New Roman" w:eastAsia="仿宋_GB2312" w:cs="仿宋_GB2312"/>
          <w:b/>
          <w:bCs/>
          <w:sz w:val="32"/>
          <w:szCs w:val="32"/>
        </w:rPr>
        <w:t>部门职责分工</w:t>
      </w:r>
    </w:p>
    <w:p w14:paraId="267F03A4">
      <w:pPr>
        <w:spacing w:line="560" w:lineRule="exact"/>
        <w:ind w:firstLine="643" w:firstLineChars="200"/>
        <w:rPr>
          <w:rFonts w:ascii="仿宋_GB2312" w:hAnsi="Times New Roman" w:eastAsia="仿宋_GB2312" w:cs="Times New Roman"/>
          <w:sz w:val="32"/>
          <w:szCs w:val="32"/>
        </w:rPr>
      </w:pPr>
      <w:r>
        <w:rPr>
          <w:rFonts w:hint="eastAsia" w:ascii="仿宋_GB2312" w:hAnsi="Times New Roman" w:eastAsia="仿宋_GB2312" w:cs="仿宋_GB2312"/>
          <w:b/>
          <w:bCs/>
          <w:sz w:val="32"/>
          <w:szCs w:val="32"/>
        </w:rPr>
        <w:t>（</w:t>
      </w:r>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）司法行政部门。</w:t>
      </w:r>
      <w:r>
        <w:rPr>
          <w:rFonts w:hint="eastAsia" w:ascii="仿宋_GB2312" w:hAnsi="Times New Roman" w:eastAsia="仿宋_GB2312" w:cs="仿宋_GB2312"/>
          <w:sz w:val="32"/>
          <w:szCs w:val="32"/>
        </w:rPr>
        <w:t>市司法局负责编制年度预算草案，牵头组织开展全市社区矫正和人民调解工作；牵头组织日常检查和绩效自评价；根据考核评价情况拟定资金分配计划。区司法局按照政策文件和上级主管部门的要求具体实施社区矫正和人民调解工作，配合上级主管部门开展监督检查和绩效自评价。</w:t>
      </w:r>
    </w:p>
    <w:p w14:paraId="290A04E3">
      <w:pPr>
        <w:spacing w:line="560" w:lineRule="exact"/>
        <w:ind w:firstLine="643" w:firstLineChars="200"/>
        <w:rPr>
          <w:rFonts w:ascii="仿宋_GB2312" w:hAnsi="Times New Roman" w:eastAsia="仿宋_GB2312" w:cs="Times New Roman"/>
          <w:sz w:val="32"/>
          <w:szCs w:val="32"/>
        </w:rPr>
      </w:pPr>
      <w:r>
        <w:rPr>
          <w:rFonts w:hint="eastAsia" w:ascii="仿宋_GB2312" w:hAnsi="Times New Roman" w:eastAsia="仿宋_GB2312" w:cs="仿宋_GB2312"/>
          <w:b/>
          <w:bCs/>
          <w:sz w:val="32"/>
          <w:szCs w:val="32"/>
        </w:rPr>
        <w:t>（</w:t>
      </w:r>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）财政部门。</w:t>
      </w:r>
      <w:r>
        <w:rPr>
          <w:rFonts w:hint="eastAsia" w:ascii="仿宋_GB2312" w:hAnsi="Times New Roman" w:eastAsia="仿宋_GB2312" w:cs="仿宋_GB2312"/>
          <w:sz w:val="32"/>
          <w:szCs w:val="32"/>
        </w:rPr>
        <w:t>市财政局负责市级资金的预算管理；会同市司法局确定资金分配方案，按进度拨付；对市级资金的使用情况进行监督，组织绩效评价。区财政部门负责区级资金的预算管理，会同区司法局对辖区资金使用情况进行监督。</w:t>
      </w:r>
    </w:p>
    <w:p w14:paraId="6FA2C5C1">
      <w:pPr>
        <w:pStyle w:val="27"/>
        <w:numPr>
          <w:ilvl w:val="0"/>
          <w:numId w:val="3"/>
        </w:numPr>
        <w:spacing w:line="560" w:lineRule="exact"/>
        <w:ind w:firstLineChars="0"/>
        <w:rPr>
          <w:rFonts w:ascii="仿宋_GB2312" w:hAnsi="Times New Roman" w:eastAsia="仿宋_GB2312" w:cs="Times New Roman"/>
          <w:b/>
          <w:bCs/>
          <w:sz w:val="32"/>
          <w:szCs w:val="32"/>
        </w:rPr>
      </w:pPr>
      <w:r>
        <w:rPr>
          <w:rFonts w:hint="eastAsia" w:ascii="仿宋_GB2312" w:hAnsi="Times New Roman" w:eastAsia="仿宋_GB2312" w:cs="仿宋_GB2312"/>
          <w:b/>
          <w:bCs/>
          <w:sz w:val="32"/>
          <w:szCs w:val="32"/>
        </w:rPr>
        <w:t>组织管理流程</w:t>
      </w:r>
    </w:p>
    <w:p w14:paraId="5BA0027F">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社区矫正业务流程为：（</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）调查评估，提出评估意见。（</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）接收入矫。核对法律文书和身份，办理接收登记，建立档案。（</w:t>
      </w:r>
      <w:r>
        <w:rPr>
          <w:rFonts w:ascii="仿宋_GB2312" w:hAnsi="Times New Roman" w:eastAsia="仿宋_GB2312" w:cs="仿宋_GB2312"/>
          <w:sz w:val="32"/>
          <w:szCs w:val="32"/>
        </w:rPr>
        <w:t>3</w:t>
      </w:r>
      <w:r>
        <w:rPr>
          <w:rFonts w:hint="eastAsia" w:ascii="仿宋_GB2312" w:hAnsi="Times New Roman" w:eastAsia="仿宋_GB2312" w:cs="仿宋_GB2312"/>
          <w:sz w:val="32"/>
          <w:szCs w:val="32"/>
        </w:rPr>
        <w:t>）管理在矫。建立矫正小组，制定和落实矫正方案，对矫正对象进行监督管理、实施考核奖惩、进行教育帮扶、开展法治道德等教育、开展职业技能培训、就业指导、组织公益活动等。（</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）期满解矫、终止矫正。对符合条件的人员依法终止矫正，并对其进行安置帮教与跟踪帮扶。</w:t>
      </w:r>
    </w:p>
    <w:p w14:paraId="6D89F3E4">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人民调解业务流程为：（</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）启动与受理。（</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）调查核实、组织调解。（</w:t>
      </w:r>
      <w:r>
        <w:rPr>
          <w:rFonts w:ascii="仿宋_GB2312" w:hAnsi="Times New Roman" w:eastAsia="仿宋_GB2312" w:cs="仿宋_GB2312"/>
          <w:sz w:val="32"/>
          <w:szCs w:val="32"/>
        </w:rPr>
        <w:t>3</w:t>
      </w:r>
      <w:r>
        <w:rPr>
          <w:rFonts w:hint="eastAsia" w:ascii="仿宋_GB2312" w:hAnsi="Times New Roman" w:eastAsia="仿宋_GB2312" w:cs="仿宋_GB2312"/>
          <w:sz w:val="32"/>
          <w:szCs w:val="32"/>
        </w:rPr>
        <w:t>）达成协议。人民调解员在当事人平等协商、互谅互让的基础上提出纠纷解决方案，帮助当事人自愿达成调解协议。（</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）回访与归档。建立调解工作档案，将调解登记、调解工作记录、调解协议书等材料立卷归档。</w:t>
      </w:r>
    </w:p>
    <w:p w14:paraId="2A6D9070">
      <w:pPr>
        <w:pStyle w:val="27"/>
        <w:numPr>
          <w:ilvl w:val="0"/>
          <w:numId w:val="3"/>
        </w:numPr>
        <w:spacing w:line="560" w:lineRule="exact"/>
        <w:ind w:firstLineChars="0"/>
        <w:rPr>
          <w:rFonts w:ascii="仿宋_GB2312" w:hAnsi="Times New Roman" w:eastAsia="仿宋_GB2312" w:cs="Times New Roman"/>
          <w:b/>
          <w:bCs/>
          <w:sz w:val="32"/>
          <w:szCs w:val="32"/>
        </w:rPr>
      </w:pPr>
      <w:r>
        <w:rPr>
          <w:rFonts w:hint="eastAsia" w:ascii="仿宋_GB2312" w:hAnsi="Times New Roman" w:eastAsia="仿宋_GB2312" w:cs="仿宋_GB2312"/>
          <w:b/>
          <w:bCs/>
          <w:sz w:val="32"/>
          <w:szCs w:val="32"/>
        </w:rPr>
        <w:t>资金拨付流程</w:t>
      </w:r>
    </w:p>
    <w:p w14:paraId="2EE144F7">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市司法局每年年底根据工作需要，结合上年度监督考核情况，提出资金分配方案，报送市财政局审核。市财政局审核后下达至区财政局，区司法局根据工作进度向区财政局申报资金并支付。</w:t>
      </w:r>
    </w:p>
    <w:p w14:paraId="7A2824FB">
      <w:pPr>
        <w:numPr>
          <w:ilvl w:val="0"/>
          <w:numId w:val="2"/>
        </w:numPr>
        <w:spacing w:line="560" w:lineRule="exact"/>
        <w:ind w:left="560"/>
        <w:outlineLvl w:val="1"/>
        <w:rPr>
          <w:rFonts w:ascii="仿宋_GB2312" w:hAnsi="Times New Roman" w:eastAsia="仿宋_GB2312" w:cs="Times New Roman"/>
          <w:b/>
          <w:bCs/>
          <w:sz w:val="32"/>
          <w:szCs w:val="32"/>
        </w:rPr>
      </w:pPr>
      <w:bookmarkStart w:id="10" w:name="_Toc18435"/>
      <w:r>
        <w:rPr>
          <w:rFonts w:hint="eastAsia" w:ascii="仿宋_GB2312" w:hAnsi="Times New Roman" w:eastAsia="仿宋_GB2312" w:cs="仿宋_GB2312"/>
          <w:b/>
          <w:bCs/>
          <w:sz w:val="32"/>
          <w:szCs w:val="32"/>
        </w:rPr>
        <w:t>政策绩效目标</w:t>
      </w:r>
      <w:bookmarkEnd w:id="10"/>
    </w:p>
    <w:p w14:paraId="20756157">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中长期绩效目标</w:t>
      </w:r>
    </w:p>
    <w:p w14:paraId="2F1A23CB">
      <w:pPr>
        <w:spacing w:line="560" w:lineRule="exact"/>
        <w:ind w:firstLine="640" w:firstLineChars="200"/>
        <w:rPr>
          <w:rFonts w:ascii="仿宋_GB2312" w:eastAsia="仿宋_GB2312" w:cs="Times New Roman"/>
          <w:sz w:val="32"/>
          <w:szCs w:val="32"/>
        </w:rPr>
      </w:pPr>
      <w:bookmarkStart w:id="11" w:name="OLE_LINK6"/>
      <w:bookmarkStart w:id="12" w:name="OLE_LINK5"/>
      <w:r>
        <w:rPr>
          <w:rFonts w:hint="eastAsia" w:ascii="仿宋_GB2312" w:hAnsi="Times New Roman" w:eastAsia="仿宋_GB2312" w:cs="仿宋_GB2312"/>
          <w:sz w:val="32"/>
          <w:szCs w:val="32"/>
        </w:rPr>
        <w:t>以维护社会安全稳定、最大限度降低重新违法犯罪、促进罪犯再社会化为目标，完善矫正中心建设标准，打造流程化、区块化、窗口化实体平台；以创新社会治理、化解社会矛盾、有效预防犯罪、维护社会稳定、构建和谐社会为导向，形成“专业性人民调解组织</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专职人民调解员</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专业化方法手段”化解矛盾纠纷的专业调解模式，打造南京市强化人民调解、化解社会矛盾特色品牌。</w:t>
      </w:r>
    </w:p>
    <w:bookmarkEnd w:id="11"/>
    <w:bookmarkEnd w:id="12"/>
    <w:p w14:paraId="54837CDB">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年度绩效目标</w:t>
      </w:r>
    </w:p>
    <w:p w14:paraId="6D7EE749">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color w:val="000000"/>
          <w:sz w:val="32"/>
          <w:szCs w:val="32"/>
        </w:rPr>
        <w:t>加强对社区矫正对象的日常监管，确保社区矫正对象无脱管、漏管。矫正对象信息化监管覆盖率达</w:t>
      </w:r>
      <w:r>
        <w:rPr>
          <w:rFonts w:ascii="仿宋_GB2312" w:hAnsi="Times New Roman" w:eastAsia="仿宋_GB2312" w:cs="仿宋_GB2312"/>
          <w:color w:val="000000"/>
          <w:sz w:val="32"/>
          <w:szCs w:val="32"/>
        </w:rPr>
        <w:t>100%</w:t>
      </w:r>
      <w:r>
        <w:rPr>
          <w:rFonts w:hint="eastAsia" w:ascii="仿宋_GB2312" w:hAnsi="Times New Roman" w:eastAsia="仿宋_GB2312" w:cs="仿宋_GB2312"/>
          <w:color w:val="000000"/>
          <w:sz w:val="32"/>
          <w:szCs w:val="32"/>
        </w:rPr>
        <w:t>，社区矫正对象应收尽收率达</w:t>
      </w:r>
      <w:r>
        <w:rPr>
          <w:rFonts w:ascii="仿宋_GB2312" w:hAnsi="Times New Roman" w:eastAsia="仿宋_GB2312" w:cs="仿宋_GB2312"/>
          <w:color w:val="000000"/>
          <w:sz w:val="32"/>
          <w:szCs w:val="32"/>
        </w:rPr>
        <w:t>100%</w:t>
      </w:r>
      <w:r>
        <w:rPr>
          <w:rFonts w:hint="eastAsia" w:ascii="仿宋_GB2312" w:hAnsi="Times New Roman" w:eastAsia="仿宋_GB2312" w:cs="仿宋_GB2312"/>
          <w:color w:val="000000"/>
          <w:sz w:val="32"/>
          <w:szCs w:val="32"/>
        </w:rPr>
        <w:t>。</w:t>
      </w:r>
    </w:p>
    <w:p w14:paraId="1B2D3B20">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color w:val="000000"/>
          <w:sz w:val="32"/>
          <w:szCs w:val="32"/>
        </w:rPr>
        <w:t>做好对社区矫正对象的教育帮扶工作，帮助社区矫正对象再社会化。教育帮扶活动满足率达</w:t>
      </w:r>
      <w:r>
        <w:rPr>
          <w:rFonts w:ascii="仿宋_GB2312" w:hAnsi="Times New Roman" w:eastAsia="仿宋_GB2312" w:cs="仿宋_GB2312"/>
          <w:color w:val="000000"/>
          <w:sz w:val="32"/>
          <w:szCs w:val="32"/>
        </w:rPr>
        <w:t>100%</w:t>
      </w:r>
      <w:r>
        <w:rPr>
          <w:rFonts w:hint="eastAsia" w:ascii="仿宋_GB2312" w:hAnsi="Times New Roman" w:eastAsia="仿宋_GB2312" w:cs="仿宋_GB2312"/>
          <w:color w:val="000000"/>
          <w:sz w:val="32"/>
          <w:szCs w:val="32"/>
        </w:rPr>
        <w:t>，社区矫正对象在矫期间重新犯罪率不超过</w:t>
      </w:r>
      <w:r>
        <w:rPr>
          <w:rFonts w:ascii="仿宋_GB2312" w:hAnsi="Times New Roman" w:eastAsia="仿宋_GB2312" w:cs="仿宋_GB2312"/>
          <w:color w:val="000000"/>
          <w:sz w:val="32"/>
          <w:szCs w:val="32"/>
        </w:rPr>
        <w:t>0.1%</w:t>
      </w:r>
      <w:r>
        <w:rPr>
          <w:rFonts w:hint="eastAsia" w:ascii="仿宋_GB2312" w:hAnsi="Times New Roman" w:eastAsia="仿宋_GB2312" w:cs="仿宋_GB2312"/>
          <w:color w:val="000000"/>
          <w:sz w:val="32"/>
          <w:szCs w:val="32"/>
        </w:rPr>
        <w:t>。</w:t>
      </w:r>
    </w:p>
    <w:p w14:paraId="58805E90">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color w:val="000000"/>
          <w:sz w:val="32"/>
          <w:szCs w:val="32"/>
        </w:rPr>
        <w:t>推动公调对接，调解案件及医患纠纷调解案件</w:t>
      </w:r>
      <w:r>
        <w:rPr>
          <w:rFonts w:ascii="仿宋_GB2312" w:hAnsi="Times New Roman" w:eastAsia="仿宋_GB2312" w:cs="仿宋_GB2312"/>
          <w:color w:val="000000"/>
          <w:sz w:val="32"/>
          <w:szCs w:val="32"/>
        </w:rPr>
        <w:t>6</w:t>
      </w:r>
      <w:r>
        <w:rPr>
          <w:rFonts w:hint="eastAsia" w:ascii="仿宋_GB2312" w:hAnsi="Times New Roman" w:eastAsia="仿宋_GB2312" w:cs="仿宋_GB2312"/>
          <w:color w:val="000000"/>
          <w:sz w:val="32"/>
          <w:szCs w:val="32"/>
        </w:rPr>
        <w:t>万件以上，人民调解工作任务完成及时率达</w:t>
      </w:r>
      <w:r>
        <w:rPr>
          <w:rFonts w:ascii="仿宋_GB2312" w:hAnsi="Times New Roman" w:eastAsia="仿宋_GB2312" w:cs="仿宋_GB2312"/>
          <w:color w:val="000000"/>
          <w:sz w:val="32"/>
          <w:szCs w:val="32"/>
        </w:rPr>
        <w:t>100%</w:t>
      </w:r>
      <w:r>
        <w:rPr>
          <w:rFonts w:hint="eastAsia" w:ascii="仿宋_GB2312" w:hAnsi="Times New Roman" w:eastAsia="仿宋_GB2312" w:cs="仿宋_GB2312"/>
          <w:color w:val="000000"/>
          <w:sz w:val="32"/>
          <w:szCs w:val="32"/>
        </w:rPr>
        <w:t>，调处案件成功率达到</w:t>
      </w:r>
      <w:r>
        <w:rPr>
          <w:rFonts w:ascii="仿宋_GB2312" w:hAnsi="Times New Roman" w:eastAsia="仿宋_GB2312" w:cs="仿宋_GB2312"/>
          <w:color w:val="000000"/>
          <w:sz w:val="32"/>
          <w:szCs w:val="32"/>
        </w:rPr>
        <w:t>95%</w:t>
      </w:r>
      <w:r>
        <w:rPr>
          <w:rFonts w:hint="eastAsia" w:ascii="仿宋_GB2312" w:hAnsi="Times New Roman" w:eastAsia="仿宋_GB2312" w:cs="仿宋_GB2312"/>
          <w:color w:val="000000"/>
          <w:sz w:val="32"/>
          <w:szCs w:val="32"/>
        </w:rPr>
        <w:t>。</w:t>
      </w:r>
    </w:p>
    <w:p w14:paraId="4C9854B5">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color w:val="000000"/>
          <w:sz w:val="32"/>
          <w:szCs w:val="32"/>
        </w:rPr>
        <w:t>社会安全持续向好，带动社会治安防控工作的质效提升，筑牢维护社会稳定的“第一道防线”，不发生“民”转“刑”、越级上访事件，一般纠纷转为复杂纠纷事件低于</w:t>
      </w:r>
      <w:r>
        <w:rPr>
          <w:rFonts w:ascii="仿宋_GB2312" w:hAnsi="Times New Roman" w:eastAsia="仿宋_GB2312" w:cs="仿宋_GB2312"/>
          <w:color w:val="000000"/>
          <w:sz w:val="32"/>
          <w:szCs w:val="32"/>
        </w:rPr>
        <w:t>4</w:t>
      </w:r>
      <w:r>
        <w:rPr>
          <w:rFonts w:hint="eastAsia" w:ascii="仿宋_GB2312" w:hAnsi="Times New Roman" w:eastAsia="仿宋_GB2312" w:cs="仿宋_GB2312"/>
          <w:color w:val="000000"/>
          <w:sz w:val="32"/>
          <w:szCs w:val="32"/>
        </w:rPr>
        <w:t>件，社会安全更加稳定。</w:t>
      </w:r>
    </w:p>
    <w:p w14:paraId="7AAB1FDF">
      <w:pPr>
        <w:pStyle w:val="27"/>
        <w:numPr>
          <w:ilvl w:val="0"/>
          <w:numId w:val="1"/>
        </w:numPr>
        <w:spacing w:line="560" w:lineRule="exact"/>
        <w:ind w:firstLineChars="0"/>
        <w:outlineLvl w:val="0"/>
        <w:rPr>
          <w:rFonts w:ascii="仿宋_GB2312" w:hAnsi="Times New Roman" w:eastAsia="仿宋_GB2312" w:cs="Times New Roman"/>
          <w:b/>
          <w:bCs/>
          <w:sz w:val="32"/>
          <w:szCs w:val="32"/>
        </w:rPr>
      </w:pPr>
      <w:bookmarkStart w:id="13" w:name="_Toc25275"/>
      <w:r>
        <w:rPr>
          <w:rFonts w:hint="eastAsia" w:ascii="仿宋_GB2312" w:hAnsi="Times New Roman" w:eastAsia="仿宋_GB2312" w:cs="仿宋_GB2312"/>
          <w:b/>
          <w:bCs/>
          <w:sz w:val="32"/>
          <w:szCs w:val="32"/>
        </w:rPr>
        <w:t>绩效评价结论</w:t>
      </w:r>
      <w:bookmarkEnd w:id="0"/>
      <w:bookmarkEnd w:id="1"/>
      <w:bookmarkEnd w:id="13"/>
    </w:p>
    <w:p w14:paraId="07205E81">
      <w:pPr>
        <w:spacing w:line="560" w:lineRule="exact"/>
        <w:ind w:firstLine="643" w:firstLineChars="200"/>
        <w:outlineLvl w:val="1"/>
        <w:rPr>
          <w:rFonts w:ascii="仿宋_GB2312" w:hAnsi="Times New Roman" w:eastAsia="仿宋_GB2312" w:cs="Times New Roman"/>
          <w:b/>
          <w:bCs/>
          <w:color w:val="000000"/>
          <w:sz w:val="32"/>
          <w:szCs w:val="32"/>
        </w:rPr>
      </w:pPr>
      <w:bookmarkStart w:id="14" w:name="_Toc19372"/>
      <w:bookmarkStart w:id="15" w:name="_Toc165214289"/>
      <w:bookmarkStart w:id="16" w:name="_Toc71279125"/>
      <w:r>
        <w:rPr>
          <w:rFonts w:hint="eastAsia" w:ascii="仿宋_GB2312" w:hAnsi="Times New Roman" w:eastAsia="仿宋_GB2312" w:cs="仿宋_GB2312"/>
          <w:b/>
          <w:bCs/>
          <w:color w:val="000000"/>
          <w:sz w:val="32"/>
          <w:szCs w:val="32"/>
        </w:rPr>
        <w:t>（一）评价对象和范围</w:t>
      </w:r>
      <w:bookmarkEnd w:id="14"/>
    </w:p>
    <w:p w14:paraId="6FCD3D10">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color w:val="000000"/>
          <w:sz w:val="32"/>
          <w:szCs w:val="32"/>
        </w:rPr>
        <w:t>本次评价对象为</w:t>
      </w:r>
      <w:r>
        <w:rPr>
          <w:rFonts w:ascii="仿宋_GB2312" w:hAnsi="Times New Roman" w:eastAsia="仿宋_GB2312" w:cs="仿宋_GB2312"/>
          <w:color w:val="000000"/>
          <w:sz w:val="32"/>
          <w:szCs w:val="32"/>
        </w:rPr>
        <w:t>2025</w:t>
      </w:r>
      <w:r>
        <w:rPr>
          <w:rFonts w:hint="eastAsia" w:ascii="仿宋_GB2312" w:hAnsi="Times New Roman" w:eastAsia="仿宋_GB2312" w:cs="仿宋_GB2312"/>
          <w:color w:val="000000"/>
          <w:sz w:val="32"/>
          <w:szCs w:val="32"/>
        </w:rPr>
        <w:t>年市级城市警备防务与基层政法补助</w:t>
      </w:r>
      <w:r>
        <w:rPr>
          <w:rFonts w:ascii="仿宋_GB2312" w:hAnsi="Times New Roman" w:eastAsia="仿宋_GB2312" w:cs="仿宋_GB2312"/>
          <w:color w:val="000000"/>
          <w:sz w:val="32"/>
          <w:szCs w:val="32"/>
        </w:rPr>
        <w:t>-</w:t>
      </w:r>
      <w:r>
        <w:rPr>
          <w:rFonts w:hint="eastAsia" w:ascii="仿宋_GB2312" w:hAnsi="Times New Roman" w:eastAsia="仿宋_GB2312" w:cs="仿宋_GB2312"/>
          <w:color w:val="000000"/>
          <w:sz w:val="32"/>
          <w:szCs w:val="32"/>
        </w:rPr>
        <w:t>社区矫正和人民调解补助资金，评价范围包括政策制定、政策实施、政策产出及政策效果等。</w:t>
      </w:r>
      <w:bookmarkEnd w:id="15"/>
      <w:bookmarkEnd w:id="16"/>
      <w:bookmarkStart w:id="17" w:name="_Toc165214291"/>
      <w:bookmarkStart w:id="18" w:name="_Toc71279127"/>
      <w:bookmarkStart w:id="19" w:name="_Toc16095"/>
      <w:bookmarkStart w:id="20" w:name="_Toc165214293"/>
      <w:bookmarkStart w:id="21" w:name="_Toc71279142"/>
      <w:bookmarkStart w:id="22" w:name="_Toc71279139"/>
    </w:p>
    <w:p w14:paraId="378BD3DB">
      <w:pPr>
        <w:spacing w:line="560" w:lineRule="exact"/>
        <w:ind w:firstLine="643" w:firstLineChars="200"/>
        <w:outlineLvl w:val="1"/>
        <w:rPr>
          <w:rFonts w:ascii="仿宋_GB2312" w:hAnsi="Times New Roman" w:eastAsia="仿宋_GB2312" w:cs="Times New Roman"/>
          <w:b/>
          <w:bCs/>
          <w:color w:val="000000"/>
          <w:sz w:val="32"/>
          <w:szCs w:val="32"/>
        </w:rPr>
      </w:pPr>
      <w:bookmarkStart w:id="23" w:name="_Toc15164"/>
      <w:r>
        <w:rPr>
          <w:rFonts w:hint="eastAsia" w:ascii="仿宋_GB2312" w:hAnsi="Times New Roman" w:eastAsia="仿宋_GB2312" w:cs="仿宋_GB2312"/>
          <w:b/>
          <w:bCs/>
          <w:color w:val="000000"/>
          <w:sz w:val="32"/>
          <w:szCs w:val="32"/>
        </w:rPr>
        <w:t>（二）评价结论及评分结果</w:t>
      </w:r>
      <w:bookmarkEnd w:id="17"/>
      <w:bookmarkEnd w:id="18"/>
      <w:bookmarkEnd w:id="23"/>
    </w:p>
    <w:p w14:paraId="5E14FA72">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color w:val="000000"/>
          <w:sz w:val="32"/>
          <w:szCs w:val="32"/>
        </w:rPr>
        <w:t>根据绩效评价实施方案确定的指标体系及评分标准，评价小组通过现场核查资料、调研访谈、实地查看等方式，对</w:t>
      </w:r>
      <w:r>
        <w:rPr>
          <w:rFonts w:ascii="仿宋_GB2312" w:hAnsi="Times New Roman" w:eastAsia="仿宋_GB2312" w:cs="仿宋_GB2312"/>
          <w:color w:val="000000"/>
          <w:sz w:val="32"/>
          <w:szCs w:val="32"/>
        </w:rPr>
        <w:t>2025</w:t>
      </w:r>
      <w:r>
        <w:rPr>
          <w:rFonts w:hint="eastAsia" w:ascii="仿宋_GB2312" w:hAnsi="Times New Roman" w:eastAsia="仿宋_GB2312" w:cs="仿宋_GB2312"/>
          <w:color w:val="000000"/>
          <w:sz w:val="32"/>
          <w:szCs w:val="32"/>
        </w:rPr>
        <w:t>年市级社区矫正和人民调解专项补助资金进行了独立、客观的评价，最终评分为</w:t>
      </w:r>
      <w:r>
        <w:rPr>
          <w:rFonts w:ascii="仿宋_GB2312" w:hAnsi="Times New Roman" w:eastAsia="仿宋_GB2312" w:cs="仿宋_GB2312"/>
          <w:color w:val="000000"/>
          <w:sz w:val="32"/>
          <w:szCs w:val="32"/>
        </w:rPr>
        <w:t>87.49</w:t>
      </w:r>
      <w:r>
        <w:rPr>
          <w:rFonts w:hint="eastAsia" w:ascii="仿宋_GB2312" w:hAnsi="Times New Roman" w:eastAsia="仿宋_GB2312" w:cs="仿宋_GB2312"/>
          <w:color w:val="000000"/>
          <w:sz w:val="32"/>
          <w:szCs w:val="32"/>
        </w:rPr>
        <w:t>分，绩效评级为“良”（具体分值明细详见附件）。</w:t>
      </w:r>
    </w:p>
    <w:p w14:paraId="0F766A05">
      <w:pPr>
        <w:spacing w:line="560" w:lineRule="exact"/>
        <w:ind w:firstLine="562" w:firstLineChars="200"/>
        <w:jc w:val="center"/>
        <w:rPr>
          <w:rFonts w:ascii="楷体_GB2312" w:hAnsi="Times New Roman" w:eastAsia="楷体_GB2312" w:cs="Times New Roman"/>
          <w:b/>
          <w:bCs/>
          <w:color w:val="000000"/>
          <w:sz w:val="28"/>
          <w:szCs w:val="28"/>
        </w:rPr>
      </w:pPr>
      <w:r>
        <w:rPr>
          <w:rFonts w:hint="eastAsia" w:ascii="楷体_GB2312" w:hAnsi="Times New Roman" w:eastAsia="楷体_GB2312" w:cs="楷体_GB2312"/>
          <w:b/>
          <w:bCs/>
          <w:color w:val="000000"/>
          <w:sz w:val="28"/>
          <w:szCs w:val="28"/>
        </w:rPr>
        <w:t>绩效评价得分情况表</w:t>
      </w:r>
    </w:p>
    <w:tbl>
      <w:tblPr>
        <w:tblStyle w:val="14"/>
        <w:tblW w:w="4939"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05"/>
        <w:gridCol w:w="2315"/>
        <w:gridCol w:w="2102"/>
        <w:gridCol w:w="2315"/>
      </w:tblGrid>
      <w:tr w14:paraId="2BE1A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7" w:hRule="atLeast"/>
          <w:tblHeader/>
        </w:trPr>
        <w:tc>
          <w:tcPr>
            <w:tcW w:w="1191" w:type="pct"/>
            <w:vAlign w:val="center"/>
          </w:tcPr>
          <w:p w14:paraId="4CC6B750">
            <w:pPr>
              <w:spacing w:line="560" w:lineRule="exact"/>
              <w:jc w:val="center"/>
              <w:rPr>
                <w:rFonts w:ascii="仿宋_GB2312" w:hAnsi="Times New Roman" w:eastAsia="仿宋_GB2312" w:cs="Times New Roman"/>
                <w:b/>
                <w:bCs/>
                <w:color w:val="000000"/>
                <w:sz w:val="24"/>
                <w:szCs w:val="24"/>
              </w:rPr>
            </w:pPr>
            <w:r>
              <w:rPr>
                <w:rFonts w:hint="eastAsia" w:ascii="仿宋_GB2312" w:hAnsi="Times New Roman" w:eastAsia="仿宋_GB2312" w:cs="仿宋_GB2312"/>
                <w:b/>
                <w:bCs/>
                <w:color w:val="000000"/>
                <w:sz w:val="24"/>
                <w:szCs w:val="24"/>
              </w:rPr>
              <w:t>一级指标</w:t>
            </w:r>
          </w:p>
        </w:tc>
        <w:tc>
          <w:tcPr>
            <w:tcW w:w="1309" w:type="pct"/>
            <w:vAlign w:val="center"/>
          </w:tcPr>
          <w:p w14:paraId="02BA0625">
            <w:pPr>
              <w:spacing w:line="560" w:lineRule="exact"/>
              <w:jc w:val="center"/>
              <w:rPr>
                <w:rFonts w:ascii="仿宋_GB2312" w:hAnsi="Times New Roman" w:eastAsia="仿宋_GB2312" w:cs="Times New Roman"/>
                <w:b/>
                <w:bCs/>
                <w:color w:val="000000"/>
                <w:sz w:val="24"/>
                <w:szCs w:val="24"/>
              </w:rPr>
            </w:pPr>
            <w:r>
              <w:rPr>
                <w:rFonts w:hint="eastAsia" w:ascii="仿宋_GB2312" w:hAnsi="Times New Roman" w:eastAsia="仿宋_GB2312" w:cs="仿宋_GB2312"/>
                <w:b/>
                <w:bCs/>
                <w:color w:val="000000"/>
                <w:sz w:val="24"/>
                <w:szCs w:val="24"/>
              </w:rPr>
              <w:t>二级指标</w:t>
            </w:r>
          </w:p>
        </w:tc>
        <w:tc>
          <w:tcPr>
            <w:tcW w:w="1189" w:type="pct"/>
            <w:vAlign w:val="center"/>
          </w:tcPr>
          <w:p w14:paraId="2967B449">
            <w:pPr>
              <w:spacing w:line="560" w:lineRule="exact"/>
              <w:jc w:val="center"/>
              <w:rPr>
                <w:rFonts w:ascii="仿宋_GB2312" w:hAnsi="Times New Roman" w:eastAsia="仿宋_GB2312" w:cs="Times New Roman"/>
                <w:b/>
                <w:bCs/>
                <w:color w:val="000000"/>
                <w:sz w:val="24"/>
                <w:szCs w:val="24"/>
              </w:rPr>
            </w:pPr>
            <w:r>
              <w:rPr>
                <w:rFonts w:hint="eastAsia" w:ascii="仿宋_GB2312" w:hAnsi="Times New Roman" w:eastAsia="仿宋_GB2312" w:cs="仿宋_GB2312"/>
                <w:b/>
                <w:bCs/>
                <w:color w:val="000000"/>
                <w:sz w:val="24"/>
                <w:szCs w:val="24"/>
              </w:rPr>
              <w:t>标准分值</w:t>
            </w:r>
          </w:p>
        </w:tc>
        <w:tc>
          <w:tcPr>
            <w:tcW w:w="1309" w:type="pct"/>
            <w:vAlign w:val="center"/>
          </w:tcPr>
          <w:p w14:paraId="3EF24D1C">
            <w:pPr>
              <w:spacing w:line="560" w:lineRule="exact"/>
              <w:jc w:val="center"/>
              <w:rPr>
                <w:rFonts w:ascii="仿宋_GB2312" w:hAnsi="Times New Roman" w:eastAsia="仿宋_GB2312" w:cs="Times New Roman"/>
                <w:b/>
                <w:bCs/>
                <w:color w:val="000000"/>
                <w:sz w:val="24"/>
                <w:szCs w:val="24"/>
              </w:rPr>
            </w:pPr>
            <w:r>
              <w:rPr>
                <w:rFonts w:hint="eastAsia" w:ascii="仿宋_GB2312" w:hAnsi="Times New Roman" w:eastAsia="仿宋_GB2312" w:cs="仿宋_GB2312"/>
                <w:b/>
                <w:bCs/>
                <w:color w:val="000000"/>
                <w:sz w:val="24"/>
                <w:szCs w:val="24"/>
              </w:rPr>
              <w:t>实际得分</w:t>
            </w:r>
          </w:p>
        </w:tc>
      </w:tr>
      <w:tr w14:paraId="644B6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restart"/>
            <w:vAlign w:val="center"/>
          </w:tcPr>
          <w:p w14:paraId="7566A9A0">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政策制定（</w:t>
            </w:r>
            <w:r>
              <w:rPr>
                <w:rFonts w:ascii="仿宋_GB2312" w:hAnsi="Times New Roman" w:eastAsia="仿宋_GB2312" w:cs="仿宋_GB2312"/>
                <w:color w:val="000000"/>
              </w:rPr>
              <w:t>13</w:t>
            </w:r>
            <w:r>
              <w:rPr>
                <w:rFonts w:hint="eastAsia" w:ascii="仿宋_GB2312" w:hAnsi="Times New Roman" w:eastAsia="仿宋_GB2312" w:cs="仿宋_GB2312"/>
                <w:color w:val="000000"/>
              </w:rPr>
              <w:t>分）</w:t>
            </w:r>
          </w:p>
        </w:tc>
        <w:tc>
          <w:tcPr>
            <w:tcW w:w="1309" w:type="pct"/>
            <w:vAlign w:val="center"/>
          </w:tcPr>
          <w:p w14:paraId="30243F10">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政策设立</w:t>
            </w:r>
          </w:p>
        </w:tc>
        <w:tc>
          <w:tcPr>
            <w:tcW w:w="1189" w:type="pct"/>
            <w:vAlign w:val="center"/>
          </w:tcPr>
          <w:p w14:paraId="77203124">
            <w:pPr>
              <w:jc w:val="center"/>
              <w:rPr>
                <w:rFonts w:ascii="仿宋_GB2312" w:hAnsi="Times New Roman" w:eastAsia="仿宋_GB2312" w:cs="Times New Roman"/>
                <w:color w:val="000000"/>
              </w:rPr>
            </w:pPr>
            <w:r>
              <w:rPr>
                <w:rFonts w:ascii="仿宋_GB2312" w:hAnsi="Times New Roman" w:eastAsia="仿宋_GB2312" w:cs="仿宋_GB2312"/>
                <w:color w:val="000000"/>
              </w:rPr>
              <w:t>1</w:t>
            </w:r>
          </w:p>
        </w:tc>
        <w:tc>
          <w:tcPr>
            <w:tcW w:w="1309" w:type="pct"/>
            <w:vAlign w:val="center"/>
          </w:tcPr>
          <w:p w14:paraId="4625AA7C">
            <w:pPr>
              <w:jc w:val="center"/>
              <w:rPr>
                <w:rFonts w:ascii="仿宋_GB2312" w:hAnsi="Times New Roman" w:eastAsia="仿宋_GB2312" w:cs="Times New Roman"/>
                <w:color w:val="000000"/>
              </w:rPr>
            </w:pPr>
            <w:r>
              <w:rPr>
                <w:rFonts w:ascii="仿宋_GB2312" w:hAnsi="Times New Roman" w:eastAsia="仿宋_GB2312" w:cs="仿宋_GB2312"/>
                <w:color w:val="000000"/>
              </w:rPr>
              <w:t>1</w:t>
            </w:r>
          </w:p>
        </w:tc>
      </w:tr>
      <w:tr w14:paraId="23CA3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48E31D00">
            <w:pPr>
              <w:jc w:val="center"/>
              <w:rPr>
                <w:rFonts w:ascii="仿宋_GB2312" w:hAnsi="Times New Roman" w:eastAsia="仿宋_GB2312" w:cs="Times New Roman"/>
                <w:color w:val="000000"/>
              </w:rPr>
            </w:pPr>
          </w:p>
        </w:tc>
        <w:tc>
          <w:tcPr>
            <w:tcW w:w="1309" w:type="pct"/>
            <w:vAlign w:val="center"/>
          </w:tcPr>
          <w:p w14:paraId="71610276">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政策内容</w:t>
            </w:r>
          </w:p>
        </w:tc>
        <w:tc>
          <w:tcPr>
            <w:tcW w:w="1189" w:type="pct"/>
            <w:vAlign w:val="center"/>
          </w:tcPr>
          <w:p w14:paraId="2382698A">
            <w:pPr>
              <w:jc w:val="center"/>
              <w:rPr>
                <w:rFonts w:ascii="仿宋_GB2312" w:hAnsi="Times New Roman" w:eastAsia="仿宋_GB2312" w:cs="Times New Roman"/>
                <w:color w:val="000000"/>
              </w:rPr>
            </w:pPr>
            <w:r>
              <w:rPr>
                <w:rFonts w:ascii="仿宋_GB2312" w:hAnsi="Times New Roman" w:eastAsia="仿宋_GB2312" w:cs="仿宋_GB2312"/>
                <w:color w:val="000000"/>
              </w:rPr>
              <w:t>1</w:t>
            </w:r>
          </w:p>
        </w:tc>
        <w:tc>
          <w:tcPr>
            <w:tcW w:w="1309" w:type="pct"/>
            <w:vAlign w:val="center"/>
          </w:tcPr>
          <w:p w14:paraId="5CD428B6">
            <w:pPr>
              <w:jc w:val="center"/>
              <w:rPr>
                <w:rFonts w:ascii="仿宋_GB2312" w:hAnsi="Times New Roman" w:eastAsia="仿宋_GB2312" w:cs="Times New Roman"/>
                <w:color w:val="000000"/>
              </w:rPr>
            </w:pPr>
            <w:r>
              <w:rPr>
                <w:rFonts w:ascii="仿宋_GB2312" w:hAnsi="Times New Roman" w:eastAsia="仿宋_GB2312" w:cs="仿宋_GB2312"/>
                <w:color w:val="000000"/>
              </w:rPr>
              <w:t>1</w:t>
            </w:r>
          </w:p>
        </w:tc>
      </w:tr>
      <w:tr w14:paraId="4E8B1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5C783B3F">
            <w:pPr>
              <w:jc w:val="center"/>
              <w:rPr>
                <w:rFonts w:ascii="仿宋_GB2312" w:hAnsi="Times New Roman" w:eastAsia="仿宋_GB2312" w:cs="Times New Roman"/>
                <w:color w:val="000000"/>
              </w:rPr>
            </w:pPr>
          </w:p>
        </w:tc>
        <w:tc>
          <w:tcPr>
            <w:tcW w:w="1309" w:type="pct"/>
            <w:vAlign w:val="center"/>
          </w:tcPr>
          <w:p w14:paraId="6A9884C5">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绩效目标</w:t>
            </w:r>
          </w:p>
        </w:tc>
        <w:tc>
          <w:tcPr>
            <w:tcW w:w="1189" w:type="pct"/>
            <w:vAlign w:val="center"/>
          </w:tcPr>
          <w:p w14:paraId="60F5FF27">
            <w:pPr>
              <w:jc w:val="center"/>
              <w:rPr>
                <w:rFonts w:ascii="仿宋_GB2312" w:hAnsi="Times New Roman" w:eastAsia="仿宋_GB2312" w:cs="Times New Roman"/>
                <w:color w:val="000000"/>
              </w:rPr>
            </w:pPr>
            <w:r>
              <w:rPr>
                <w:rFonts w:ascii="仿宋_GB2312" w:hAnsi="Times New Roman" w:eastAsia="仿宋_GB2312" w:cs="仿宋_GB2312"/>
                <w:color w:val="000000"/>
              </w:rPr>
              <w:t>4</w:t>
            </w:r>
          </w:p>
        </w:tc>
        <w:tc>
          <w:tcPr>
            <w:tcW w:w="1309" w:type="pct"/>
            <w:vAlign w:val="center"/>
          </w:tcPr>
          <w:p w14:paraId="3A03B4FA">
            <w:pPr>
              <w:jc w:val="center"/>
              <w:rPr>
                <w:rFonts w:ascii="仿宋_GB2312" w:hAnsi="Times New Roman" w:eastAsia="仿宋_GB2312" w:cs="Times New Roman"/>
                <w:color w:val="000000"/>
              </w:rPr>
            </w:pPr>
            <w:r>
              <w:rPr>
                <w:rFonts w:ascii="仿宋_GB2312" w:hAnsi="Times New Roman" w:eastAsia="仿宋_GB2312" w:cs="仿宋_GB2312"/>
                <w:color w:val="000000"/>
              </w:rPr>
              <w:t>4</w:t>
            </w:r>
          </w:p>
        </w:tc>
      </w:tr>
      <w:tr w14:paraId="3B709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62C1CBA2">
            <w:pPr>
              <w:jc w:val="center"/>
              <w:rPr>
                <w:rFonts w:ascii="仿宋_GB2312" w:hAnsi="Times New Roman" w:eastAsia="仿宋_GB2312" w:cs="Times New Roman"/>
                <w:color w:val="000000"/>
              </w:rPr>
            </w:pPr>
          </w:p>
        </w:tc>
        <w:tc>
          <w:tcPr>
            <w:tcW w:w="1309" w:type="pct"/>
            <w:vAlign w:val="center"/>
          </w:tcPr>
          <w:p w14:paraId="595E568E">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资金安排</w:t>
            </w:r>
          </w:p>
        </w:tc>
        <w:tc>
          <w:tcPr>
            <w:tcW w:w="1189" w:type="pct"/>
            <w:vAlign w:val="center"/>
          </w:tcPr>
          <w:p w14:paraId="152EF0FC">
            <w:pPr>
              <w:jc w:val="center"/>
              <w:rPr>
                <w:rFonts w:ascii="仿宋_GB2312" w:hAnsi="Times New Roman" w:eastAsia="仿宋_GB2312" w:cs="Times New Roman"/>
                <w:color w:val="000000"/>
              </w:rPr>
            </w:pPr>
            <w:r>
              <w:rPr>
                <w:rFonts w:ascii="仿宋_GB2312" w:hAnsi="Times New Roman" w:eastAsia="仿宋_GB2312" w:cs="仿宋_GB2312"/>
                <w:color w:val="000000"/>
              </w:rPr>
              <w:t>7</w:t>
            </w:r>
          </w:p>
        </w:tc>
        <w:tc>
          <w:tcPr>
            <w:tcW w:w="1309" w:type="pct"/>
            <w:vAlign w:val="center"/>
          </w:tcPr>
          <w:p w14:paraId="249227FC">
            <w:pPr>
              <w:jc w:val="center"/>
              <w:rPr>
                <w:rFonts w:ascii="仿宋_GB2312" w:hAnsi="Times New Roman" w:eastAsia="仿宋_GB2312" w:cs="Times New Roman"/>
                <w:color w:val="000000"/>
              </w:rPr>
            </w:pPr>
            <w:r>
              <w:rPr>
                <w:rFonts w:ascii="仿宋_GB2312" w:hAnsi="Times New Roman" w:eastAsia="仿宋_GB2312" w:cs="仿宋_GB2312"/>
                <w:color w:val="000000"/>
              </w:rPr>
              <w:t>4.5</w:t>
            </w:r>
          </w:p>
        </w:tc>
      </w:tr>
      <w:tr w14:paraId="646B8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restart"/>
            <w:vAlign w:val="center"/>
          </w:tcPr>
          <w:p w14:paraId="0B71149E">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政策实施（</w:t>
            </w:r>
            <w:r>
              <w:rPr>
                <w:rFonts w:ascii="仿宋_GB2312" w:hAnsi="Times New Roman" w:eastAsia="仿宋_GB2312" w:cs="仿宋_GB2312"/>
                <w:color w:val="000000"/>
              </w:rPr>
              <w:t>20</w:t>
            </w:r>
            <w:r>
              <w:rPr>
                <w:rFonts w:hint="eastAsia" w:ascii="仿宋_GB2312" w:hAnsi="Times New Roman" w:eastAsia="仿宋_GB2312" w:cs="仿宋_GB2312"/>
                <w:color w:val="000000"/>
              </w:rPr>
              <w:t>分）</w:t>
            </w:r>
          </w:p>
        </w:tc>
        <w:tc>
          <w:tcPr>
            <w:tcW w:w="1309" w:type="pct"/>
            <w:vAlign w:val="center"/>
          </w:tcPr>
          <w:p w14:paraId="53FE2707">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组织管理</w:t>
            </w:r>
          </w:p>
        </w:tc>
        <w:tc>
          <w:tcPr>
            <w:tcW w:w="1189" w:type="pct"/>
            <w:vAlign w:val="center"/>
          </w:tcPr>
          <w:p w14:paraId="11631FF1">
            <w:pPr>
              <w:jc w:val="center"/>
              <w:rPr>
                <w:rFonts w:ascii="仿宋_GB2312" w:hAnsi="Times New Roman" w:eastAsia="仿宋_GB2312" w:cs="Times New Roman"/>
                <w:color w:val="000000"/>
              </w:rPr>
            </w:pPr>
            <w:r>
              <w:rPr>
                <w:rFonts w:ascii="仿宋_GB2312" w:hAnsi="Times New Roman" w:eastAsia="仿宋_GB2312" w:cs="仿宋_GB2312"/>
                <w:color w:val="000000"/>
              </w:rPr>
              <w:t>7</w:t>
            </w:r>
          </w:p>
        </w:tc>
        <w:tc>
          <w:tcPr>
            <w:tcW w:w="1309" w:type="pct"/>
            <w:vAlign w:val="center"/>
          </w:tcPr>
          <w:p w14:paraId="6FE5B3AD">
            <w:pPr>
              <w:jc w:val="center"/>
              <w:rPr>
                <w:rFonts w:ascii="仿宋_GB2312" w:hAnsi="Times New Roman" w:eastAsia="仿宋_GB2312" w:cs="Times New Roman"/>
                <w:color w:val="000000"/>
              </w:rPr>
            </w:pPr>
            <w:r>
              <w:rPr>
                <w:rFonts w:ascii="仿宋_GB2312" w:hAnsi="Times New Roman" w:eastAsia="仿宋_GB2312" w:cs="仿宋_GB2312"/>
                <w:color w:val="000000"/>
              </w:rPr>
              <w:t>6</w:t>
            </w:r>
          </w:p>
        </w:tc>
      </w:tr>
      <w:tr w14:paraId="6D7BC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253BC242">
            <w:pPr>
              <w:jc w:val="center"/>
              <w:rPr>
                <w:rFonts w:ascii="仿宋_GB2312" w:hAnsi="Times New Roman" w:eastAsia="仿宋_GB2312" w:cs="Times New Roman"/>
                <w:color w:val="000000"/>
              </w:rPr>
            </w:pPr>
          </w:p>
        </w:tc>
        <w:tc>
          <w:tcPr>
            <w:tcW w:w="1309" w:type="pct"/>
            <w:vAlign w:val="center"/>
          </w:tcPr>
          <w:p w14:paraId="3BFD64C6">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组织实施</w:t>
            </w:r>
          </w:p>
        </w:tc>
        <w:tc>
          <w:tcPr>
            <w:tcW w:w="1189" w:type="pct"/>
            <w:vAlign w:val="center"/>
          </w:tcPr>
          <w:p w14:paraId="0BD807F0">
            <w:pPr>
              <w:jc w:val="center"/>
              <w:rPr>
                <w:rFonts w:ascii="仿宋_GB2312" w:hAnsi="Times New Roman" w:eastAsia="仿宋_GB2312" w:cs="Times New Roman"/>
                <w:color w:val="000000"/>
              </w:rPr>
            </w:pPr>
            <w:r>
              <w:rPr>
                <w:rFonts w:ascii="仿宋_GB2312" w:hAnsi="Times New Roman" w:eastAsia="仿宋_GB2312" w:cs="仿宋_GB2312"/>
                <w:color w:val="000000"/>
              </w:rPr>
              <w:t>5</w:t>
            </w:r>
          </w:p>
        </w:tc>
        <w:tc>
          <w:tcPr>
            <w:tcW w:w="1309" w:type="pct"/>
            <w:vAlign w:val="center"/>
          </w:tcPr>
          <w:p w14:paraId="529BC8C9">
            <w:pPr>
              <w:jc w:val="center"/>
              <w:rPr>
                <w:rFonts w:ascii="仿宋_GB2312" w:hAnsi="Times New Roman" w:eastAsia="仿宋_GB2312" w:cs="Times New Roman"/>
                <w:color w:val="000000"/>
              </w:rPr>
            </w:pPr>
            <w:r>
              <w:rPr>
                <w:rFonts w:ascii="仿宋_GB2312" w:hAnsi="Times New Roman" w:eastAsia="仿宋_GB2312" w:cs="仿宋_GB2312"/>
                <w:color w:val="000000"/>
              </w:rPr>
              <w:t>3.5</w:t>
            </w:r>
          </w:p>
        </w:tc>
      </w:tr>
      <w:tr w14:paraId="3AC72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107F3C22">
            <w:pPr>
              <w:jc w:val="center"/>
              <w:rPr>
                <w:rFonts w:ascii="仿宋_GB2312" w:hAnsi="Times New Roman" w:eastAsia="仿宋_GB2312" w:cs="Times New Roman"/>
                <w:color w:val="000000"/>
              </w:rPr>
            </w:pPr>
          </w:p>
        </w:tc>
        <w:tc>
          <w:tcPr>
            <w:tcW w:w="1309" w:type="pct"/>
            <w:vAlign w:val="center"/>
          </w:tcPr>
          <w:p w14:paraId="071C9A79">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资金管理</w:t>
            </w:r>
          </w:p>
        </w:tc>
        <w:tc>
          <w:tcPr>
            <w:tcW w:w="1189" w:type="pct"/>
            <w:vAlign w:val="center"/>
          </w:tcPr>
          <w:p w14:paraId="278ED144">
            <w:pPr>
              <w:jc w:val="center"/>
              <w:rPr>
                <w:rFonts w:ascii="仿宋_GB2312" w:hAnsi="Times New Roman" w:eastAsia="仿宋_GB2312" w:cs="Times New Roman"/>
                <w:color w:val="000000"/>
              </w:rPr>
            </w:pPr>
            <w:r>
              <w:rPr>
                <w:rFonts w:ascii="仿宋_GB2312" w:hAnsi="Times New Roman" w:eastAsia="仿宋_GB2312" w:cs="仿宋_GB2312"/>
                <w:color w:val="000000"/>
              </w:rPr>
              <w:t>8</w:t>
            </w:r>
          </w:p>
        </w:tc>
        <w:tc>
          <w:tcPr>
            <w:tcW w:w="1309" w:type="pct"/>
            <w:vAlign w:val="center"/>
          </w:tcPr>
          <w:p w14:paraId="0FED6DE6">
            <w:pPr>
              <w:jc w:val="center"/>
              <w:rPr>
                <w:rFonts w:ascii="仿宋_GB2312" w:hAnsi="Times New Roman" w:eastAsia="仿宋_GB2312" w:cs="Times New Roman"/>
                <w:color w:val="000000"/>
              </w:rPr>
            </w:pPr>
            <w:r>
              <w:rPr>
                <w:rFonts w:ascii="仿宋_GB2312" w:hAnsi="Times New Roman" w:eastAsia="仿宋_GB2312" w:cs="仿宋_GB2312"/>
                <w:color w:val="000000"/>
              </w:rPr>
              <w:t>4.99</w:t>
            </w:r>
          </w:p>
        </w:tc>
      </w:tr>
      <w:tr w14:paraId="1760C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restart"/>
            <w:vAlign w:val="center"/>
          </w:tcPr>
          <w:p w14:paraId="386742A0">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政策产出（</w:t>
            </w:r>
            <w:r>
              <w:rPr>
                <w:rFonts w:ascii="仿宋_GB2312" w:hAnsi="Times New Roman" w:eastAsia="仿宋_GB2312" w:cs="仿宋_GB2312"/>
                <w:color w:val="000000"/>
              </w:rPr>
              <w:t>41</w:t>
            </w:r>
            <w:r>
              <w:rPr>
                <w:rFonts w:hint="eastAsia" w:ascii="仿宋_GB2312" w:hAnsi="Times New Roman" w:eastAsia="仿宋_GB2312" w:cs="仿宋_GB2312"/>
                <w:color w:val="000000"/>
              </w:rPr>
              <w:t>分）</w:t>
            </w:r>
          </w:p>
        </w:tc>
        <w:tc>
          <w:tcPr>
            <w:tcW w:w="1309" w:type="pct"/>
            <w:vAlign w:val="center"/>
          </w:tcPr>
          <w:p w14:paraId="0EE07832">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完成数量</w:t>
            </w:r>
          </w:p>
        </w:tc>
        <w:tc>
          <w:tcPr>
            <w:tcW w:w="1189" w:type="pct"/>
            <w:vAlign w:val="center"/>
          </w:tcPr>
          <w:p w14:paraId="12FC0C27">
            <w:pPr>
              <w:jc w:val="center"/>
              <w:rPr>
                <w:rFonts w:ascii="仿宋_GB2312" w:hAnsi="Times New Roman" w:eastAsia="仿宋_GB2312" w:cs="Times New Roman"/>
                <w:color w:val="000000"/>
              </w:rPr>
            </w:pPr>
            <w:r>
              <w:rPr>
                <w:rFonts w:ascii="仿宋_GB2312" w:hAnsi="Times New Roman" w:eastAsia="仿宋_GB2312" w:cs="仿宋_GB2312"/>
                <w:color w:val="000000"/>
              </w:rPr>
              <w:t>16</w:t>
            </w:r>
          </w:p>
        </w:tc>
        <w:tc>
          <w:tcPr>
            <w:tcW w:w="1309" w:type="pct"/>
            <w:vAlign w:val="center"/>
          </w:tcPr>
          <w:p w14:paraId="3D6A8F4C">
            <w:pPr>
              <w:jc w:val="center"/>
              <w:rPr>
                <w:rFonts w:ascii="仿宋_GB2312" w:hAnsi="Times New Roman" w:eastAsia="仿宋_GB2312" w:cs="Times New Roman"/>
                <w:color w:val="000000"/>
              </w:rPr>
            </w:pPr>
            <w:r>
              <w:rPr>
                <w:rFonts w:ascii="仿宋_GB2312" w:hAnsi="Times New Roman" w:eastAsia="仿宋_GB2312" w:cs="仿宋_GB2312"/>
                <w:color w:val="000000"/>
              </w:rPr>
              <w:t>16</w:t>
            </w:r>
          </w:p>
        </w:tc>
      </w:tr>
      <w:tr w14:paraId="1FC72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6491AC46">
            <w:pPr>
              <w:jc w:val="center"/>
              <w:rPr>
                <w:rFonts w:ascii="仿宋_GB2312" w:hAnsi="Times New Roman" w:eastAsia="仿宋_GB2312" w:cs="Times New Roman"/>
                <w:color w:val="000000"/>
              </w:rPr>
            </w:pPr>
          </w:p>
        </w:tc>
        <w:tc>
          <w:tcPr>
            <w:tcW w:w="1309" w:type="pct"/>
            <w:vAlign w:val="center"/>
          </w:tcPr>
          <w:p w14:paraId="7A13672B">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完成质量</w:t>
            </w:r>
          </w:p>
        </w:tc>
        <w:tc>
          <w:tcPr>
            <w:tcW w:w="1189" w:type="pct"/>
            <w:vAlign w:val="center"/>
          </w:tcPr>
          <w:p w14:paraId="62E3C449">
            <w:pPr>
              <w:jc w:val="center"/>
              <w:rPr>
                <w:rFonts w:ascii="仿宋_GB2312" w:hAnsi="Times New Roman" w:eastAsia="仿宋_GB2312" w:cs="Times New Roman"/>
                <w:color w:val="000000"/>
              </w:rPr>
            </w:pPr>
            <w:r>
              <w:rPr>
                <w:rFonts w:ascii="仿宋_GB2312" w:hAnsi="Times New Roman" w:eastAsia="仿宋_GB2312" w:cs="仿宋_GB2312"/>
                <w:color w:val="000000"/>
              </w:rPr>
              <w:t>15</w:t>
            </w:r>
          </w:p>
        </w:tc>
        <w:tc>
          <w:tcPr>
            <w:tcW w:w="1309" w:type="pct"/>
            <w:vAlign w:val="center"/>
          </w:tcPr>
          <w:p w14:paraId="2188F8E2">
            <w:pPr>
              <w:jc w:val="center"/>
              <w:rPr>
                <w:rFonts w:ascii="仿宋_GB2312" w:hAnsi="Times New Roman" w:eastAsia="仿宋_GB2312" w:cs="Times New Roman"/>
                <w:color w:val="000000"/>
              </w:rPr>
            </w:pPr>
            <w:r>
              <w:rPr>
                <w:rFonts w:ascii="仿宋_GB2312" w:hAnsi="Times New Roman" w:eastAsia="仿宋_GB2312" w:cs="仿宋_GB2312"/>
                <w:color w:val="000000"/>
              </w:rPr>
              <w:t>15</w:t>
            </w:r>
          </w:p>
        </w:tc>
      </w:tr>
      <w:tr w14:paraId="4B620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04915323">
            <w:pPr>
              <w:jc w:val="center"/>
              <w:rPr>
                <w:rFonts w:ascii="仿宋_GB2312" w:hAnsi="Times New Roman" w:eastAsia="仿宋_GB2312" w:cs="Times New Roman"/>
                <w:color w:val="000000"/>
              </w:rPr>
            </w:pPr>
          </w:p>
        </w:tc>
        <w:tc>
          <w:tcPr>
            <w:tcW w:w="1309" w:type="pct"/>
            <w:vAlign w:val="center"/>
          </w:tcPr>
          <w:p w14:paraId="071E8FE1">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完成时效</w:t>
            </w:r>
          </w:p>
        </w:tc>
        <w:tc>
          <w:tcPr>
            <w:tcW w:w="1189" w:type="pct"/>
            <w:vAlign w:val="center"/>
          </w:tcPr>
          <w:p w14:paraId="5CBF40F5">
            <w:pPr>
              <w:jc w:val="center"/>
              <w:rPr>
                <w:rFonts w:ascii="仿宋_GB2312" w:hAnsi="Times New Roman" w:eastAsia="仿宋_GB2312" w:cs="Times New Roman"/>
                <w:color w:val="000000"/>
              </w:rPr>
            </w:pPr>
            <w:r>
              <w:rPr>
                <w:rFonts w:ascii="仿宋_GB2312" w:hAnsi="Times New Roman" w:eastAsia="仿宋_GB2312" w:cs="仿宋_GB2312"/>
                <w:color w:val="000000"/>
              </w:rPr>
              <w:t>10</w:t>
            </w:r>
          </w:p>
        </w:tc>
        <w:tc>
          <w:tcPr>
            <w:tcW w:w="1309" w:type="pct"/>
            <w:vAlign w:val="center"/>
          </w:tcPr>
          <w:p w14:paraId="64876047">
            <w:pPr>
              <w:jc w:val="center"/>
              <w:rPr>
                <w:rFonts w:ascii="仿宋_GB2312" w:hAnsi="Times New Roman" w:eastAsia="仿宋_GB2312" w:cs="Times New Roman"/>
                <w:color w:val="000000"/>
              </w:rPr>
            </w:pPr>
            <w:r>
              <w:rPr>
                <w:rFonts w:ascii="仿宋_GB2312" w:hAnsi="Times New Roman" w:eastAsia="仿宋_GB2312" w:cs="仿宋_GB2312"/>
                <w:color w:val="000000"/>
              </w:rPr>
              <w:t>7.5</w:t>
            </w:r>
          </w:p>
        </w:tc>
      </w:tr>
      <w:tr w14:paraId="7D57E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restart"/>
            <w:vAlign w:val="center"/>
          </w:tcPr>
          <w:p w14:paraId="26BC4012">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政策效益（</w:t>
            </w:r>
            <w:r>
              <w:rPr>
                <w:rFonts w:ascii="仿宋_GB2312" w:hAnsi="Times New Roman" w:eastAsia="仿宋_GB2312" w:cs="仿宋_GB2312"/>
                <w:color w:val="000000"/>
              </w:rPr>
              <w:t>26</w:t>
            </w:r>
            <w:r>
              <w:rPr>
                <w:rFonts w:hint="eastAsia" w:ascii="仿宋_GB2312" w:hAnsi="Times New Roman" w:eastAsia="仿宋_GB2312" w:cs="仿宋_GB2312"/>
                <w:color w:val="000000"/>
              </w:rPr>
              <w:t>分）</w:t>
            </w:r>
          </w:p>
        </w:tc>
        <w:tc>
          <w:tcPr>
            <w:tcW w:w="1309" w:type="pct"/>
            <w:vAlign w:val="center"/>
          </w:tcPr>
          <w:p w14:paraId="3E83FAC3">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社会效益</w:t>
            </w:r>
          </w:p>
        </w:tc>
        <w:tc>
          <w:tcPr>
            <w:tcW w:w="1189" w:type="pct"/>
            <w:vAlign w:val="center"/>
          </w:tcPr>
          <w:p w14:paraId="447BC547">
            <w:pPr>
              <w:jc w:val="center"/>
              <w:rPr>
                <w:rFonts w:ascii="仿宋_GB2312" w:hAnsi="Times New Roman" w:eastAsia="仿宋_GB2312" w:cs="Times New Roman"/>
                <w:color w:val="000000"/>
              </w:rPr>
            </w:pPr>
            <w:r>
              <w:rPr>
                <w:rFonts w:ascii="仿宋_GB2312" w:hAnsi="Times New Roman" w:eastAsia="仿宋_GB2312" w:cs="仿宋_GB2312"/>
                <w:color w:val="000000"/>
              </w:rPr>
              <w:t>16</w:t>
            </w:r>
          </w:p>
        </w:tc>
        <w:tc>
          <w:tcPr>
            <w:tcW w:w="1309" w:type="pct"/>
            <w:vAlign w:val="center"/>
          </w:tcPr>
          <w:p w14:paraId="74B41471">
            <w:pPr>
              <w:jc w:val="center"/>
              <w:rPr>
                <w:rFonts w:ascii="仿宋_GB2312" w:hAnsi="Times New Roman" w:eastAsia="仿宋_GB2312" w:cs="Times New Roman"/>
                <w:color w:val="000000"/>
              </w:rPr>
            </w:pPr>
            <w:r>
              <w:rPr>
                <w:rFonts w:ascii="仿宋_GB2312" w:hAnsi="Times New Roman" w:eastAsia="仿宋_GB2312" w:cs="仿宋_GB2312"/>
                <w:color w:val="000000"/>
              </w:rPr>
              <w:t>16</w:t>
            </w:r>
          </w:p>
        </w:tc>
      </w:tr>
      <w:tr w14:paraId="3C507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4FE9F5E1">
            <w:pPr>
              <w:jc w:val="center"/>
              <w:rPr>
                <w:rFonts w:ascii="仿宋_GB2312" w:hAnsi="Times New Roman" w:eastAsia="仿宋_GB2312" w:cs="Times New Roman"/>
                <w:color w:val="000000"/>
              </w:rPr>
            </w:pPr>
          </w:p>
        </w:tc>
        <w:tc>
          <w:tcPr>
            <w:tcW w:w="1309" w:type="pct"/>
            <w:vAlign w:val="center"/>
          </w:tcPr>
          <w:p w14:paraId="7D54C472">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可持续影响</w:t>
            </w:r>
          </w:p>
        </w:tc>
        <w:tc>
          <w:tcPr>
            <w:tcW w:w="1189" w:type="pct"/>
            <w:vAlign w:val="center"/>
          </w:tcPr>
          <w:p w14:paraId="01F113FC">
            <w:pPr>
              <w:jc w:val="center"/>
              <w:rPr>
                <w:rFonts w:ascii="仿宋_GB2312" w:hAnsi="Times New Roman" w:eastAsia="仿宋_GB2312" w:cs="Times New Roman"/>
                <w:color w:val="000000"/>
              </w:rPr>
            </w:pPr>
            <w:r>
              <w:rPr>
                <w:rFonts w:ascii="仿宋_GB2312" w:hAnsi="Times New Roman" w:eastAsia="仿宋_GB2312" w:cs="仿宋_GB2312"/>
                <w:color w:val="000000"/>
              </w:rPr>
              <w:t>4</w:t>
            </w:r>
          </w:p>
        </w:tc>
        <w:tc>
          <w:tcPr>
            <w:tcW w:w="1309" w:type="pct"/>
            <w:vAlign w:val="center"/>
          </w:tcPr>
          <w:p w14:paraId="01245FDC">
            <w:pPr>
              <w:jc w:val="center"/>
              <w:rPr>
                <w:rFonts w:ascii="仿宋_GB2312" w:hAnsi="Times New Roman" w:eastAsia="仿宋_GB2312" w:cs="Times New Roman"/>
                <w:color w:val="000000"/>
              </w:rPr>
            </w:pPr>
            <w:r>
              <w:rPr>
                <w:rFonts w:ascii="仿宋_GB2312" w:hAnsi="Times New Roman" w:eastAsia="仿宋_GB2312" w:cs="仿宋_GB2312"/>
                <w:color w:val="000000"/>
              </w:rPr>
              <w:t>4</w:t>
            </w:r>
          </w:p>
        </w:tc>
      </w:tr>
      <w:tr w14:paraId="51742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trPr>
        <w:tc>
          <w:tcPr>
            <w:tcW w:w="1191" w:type="pct"/>
            <w:vMerge w:val="continue"/>
            <w:vAlign w:val="center"/>
          </w:tcPr>
          <w:p w14:paraId="6B6BD7E5">
            <w:pPr>
              <w:jc w:val="center"/>
              <w:rPr>
                <w:rFonts w:ascii="仿宋_GB2312" w:hAnsi="Times New Roman" w:eastAsia="仿宋_GB2312" w:cs="Times New Roman"/>
                <w:color w:val="000000"/>
              </w:rPr>
            </w:pPr>
          </w:p>
        </w:tc>
        <w:tc>
          <w:tcPr>
            <w:tcW w:w="1309" w:type="pct"/>
            <w:vAlign w:val="center"/>
          </w:tcPr>
          <w:p w14:paraId="5E41B920">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满意度</w:t>
            </w:r>
          </w:p>
        </w:tc>
        <w:tc>
          <w:tcPr>
            <w:tcW w:w="1189" w:type="pct"/>
            <w:vAlign w:val="center"/>
          </w:tcPr>
          <w:p w14:paraId="7E1FCB72">
            <w:pPr>
              <w:jc w:val="center"/>
              <w:rPr>
                <w:rFonts w:ascii="仿宋_GB2312" w:hAnsi="Times New Roman" w:eastAsia="仿宋_GB2312" w:cs="Times New Roman"/>
                <w:color w:val="000000"/>
              </w:rPr>
            </w:pPr>
            <w:r>
              <w:rPr>
                <w:rFonts w:ascii="仿宋_GB2312" w:hAnsi="Times New Roman" w:eastAsia="仿宋_GB2312" w:cs="仿宋_GB2312"/>
                <w:color w:val="000000"/>
              </w:rPr>
              <w:t>6</w:t>
            </w:r>
          </w:p>
        </w:tc>
        <w:tc>
          <w:tcPr>
            <w:tcW w:w="1309" w:type="pct"/>
            <w:vAlign w:val="center"/>
          </w:tcPr>
          <w:p w14:paraId="1F208C1C">
            <w:pPr>
              <w:jc w:val="center"/>
              <w:rPr>
                <w:rFonts w:ascii="仿宋_GB2312" w:hAnsi="Times New Roman" w:eastAsia="仿宋_GB2312" w:cs="Times New Roman"/>
                <w:color w:val="000000"/>
              </w:rPr>
            </w:pPr>
            <w:r>
              <w:rPr>
                <w:rFonts w:ascii="仿宋_GB2312" w:hAnsi="Times New Roman" w:eastAsia="仿宋_GB2312" w:cs="仿宋_GB2312"/>
                <w:color w:val="000000"/>
              </w:rPr>
              <w:t>4</w:t>
            </w:r>
          </w:p>
        </w:tc>
      </w:tr>
      <w:tr w14:paraId="4D906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trPr>
        <w:tc>
          <w:tcPr>
            <w:tcW w:w="2500" w:type="pct"/>
            <w:gridSpan w:val="2"/>
            <w:vAlign w:val="center"/>
          </w:tcPr>
          <w:p w14:paraId="7959C35E">
            <w:pPr>
              <w:jc w:val="center"/>
              <w:rPr>
                <w:rFonts w:ascii="仿宋_GB2312" w:hAnsi="Times New Roman" w:eastAsia="仿宋_GB2312" w:cs="Times New Roman"/>
                <w:color w:val="000000"/>
              </w:rPr>
            </w:pPr>
            <w:r>
              <w:rPr>
                <w:rFonts w:hint="eastAsia" w:ascii="仿宋_GB2312" w:hAnsi="Times New Roman" w:eastAsia="仿宋_GB2312" w:cs="仿宋_GB2312"/>
                <w:color w:val="000000"/>
              </w:rPr>
              <w:t>合计</w:t>
            </w:r>
          </w:p>
        </w:tc>
        <w:tc>
          <w:tcPr>
            <w:tcW w:w="1189" w:type="pct"/>
            <w:vAlign w:val="center"/>
          </w:tcPr>
          <w:p w14:paraId="1AB709C9">
            <w:pPr>
              <w:jc w:val="center"/>
              <w:rPr>
                <w:rFonts w:ascii="仿宋_GB2312" w:hAnsi="Times New Roman" w:eastAsia="仿宋_GB2312" w:cs="Times New Roman"/>
                <w:color w:val="000000"/>
              </w:rPr>
            </w:pPr>
            <w:r>
              <w:rPr>
                <w:rFonts w:ascii="仿宋_GB2312" w:hAnsi="Times New Roman" w:eastAsia="仿宋_GB2312" w:cs="仿宋_GB2312"/>
                <w:color w:val="000000"/>
              </w:rPr>
              <w:t>100</w:t>
            </w:r>
          </w:p>
        </w:tc>
        <w:tc>
          <w:tcPr>
            <w:tcW w:w="1309" w:type="pct"/>
            <w:vAlign w:val="center"/>
          </w:tcPr>
          <w:p w14:paraId="72B7E525">
            <w:pPr>
              <w:jc w:val="center"/>
              <w:rPr>
                <w:rFonts w:ascii="仿宋_GB2312" w:hAnsi="Times New Roman" w:eastAsia="仿宋_GB2312" w:cs="Times New Roman"/>
                <w:color w:val="000000"/>
              </w:rPr>
            </w:pPr>
            <w:r>
              <w:rPr>
                <w:rFonts w:ascii="仿宋_GB2312" w:hAnsi="Times New Roman" w:eastAsia="仿宋_GB2312" w:cs="仿宋_GB2312"/>
                <w:color w:val="000000"/>
              </w:rPr>
              <w:t>87.49</w:t>
            </w:r>
          </w:p>
        </w:tc>
      </w:tr>
    </w:tbl>
    <w:p w14:paraId="22109340">
      <w:pPr>
        <w:spacing w:line="560" w:lineRule="exact"/>
        <w:ind w:firstLine="640" w:firstLineChars="200"/>
        <w:rPr>
          <w:rFonts w:ascii="仿宋_GB2312" w:hAnsi="Times New Roman" w:eastAsia="仿宋_GB2312" w:cs="Times New Roman"/>
          <w:color w:val="000000"/>
          <w:sz w:val="32"/>
          <w:szCs w:val="32"/>
        </w:rPr>
      </w:pPr>
    </w:p>
    <w:p w14:paraId="1ADFF264">
      <w:pPr>
        <w:pStyle w:val="27"/>
        <w:numPr>
          <w:ilvl w:val="0"/>
          <w:numId w:val="1"/>
        </w:numPr>
        <w:spacing w:line="560" w:lineRule="exact"/>
        <w:ind w:firstLineChars="0"/>
        <w:outlineLvl w:val="0"/>
        <w:rPr>
          <w:rFonts w:ascii="仿宋_GB2312" w:hAnsi="Times New Roman" w:eastAsia="仿宋_GB2312" w:cs="Times New Roman"/>
          <w:b/>
          <w:bCs/>
          <w:sz w:val="32"/>
          <w:szCs w:val="32"/>
        </w:rPr>
      </w:pPr>
      <w:bookmarkStart w:id="24" w:name="_Toc11346"/>
      <w:r>
        <w:rPr>
          <w:rFonts w:hint="eastAsia" w:ascii="仿宋_GB2312" w:hAnsi="Times New Roman" w:eastAsia="仿宋_GB2312" w:cs="仿宋_GB2312"/>
          <w:b/>
          <w:bCs/>
          <w:sz w:val="32"/>
          <w:szCs w:val="32"/>
        </w:rPr>
        <w:t>政策成效</w:t>
      </w:r>
      <w:bookmarkEnd w:id="19"/>
      <w:bookmarkEnd w:id="20"/>
      <w:bookmarkEnd w:id="21"/>
      <w:bookmarkEnd w:id="24"/>
    </w:p>
    <w:p w14:paraId="78375B41">
      <w:pPr>
        <w:spacing w:line="560" w:lineRule="exact"/>
        <w:ind w:firstLine="643" w:firstLineChars="200"/>
        <w:outlineLvl w:val="1"/>
        <w:rPr>
          <w:rFonts w:ascii="仿宋_GB2312" w:hAnsi="Times New Roman" w:eastAsia="仿宋_GB2312" w:cs="Times New Roman"/>
          <w:b/>
          <w:bCs/>
          <w:sz w:val="32"/>
          <w:szCs w:val="32"/>
        </w:rPr>
      </w:pPr>
      <w:bookmarkStart w:id="25" w:name="_Toc7403"/>
      <w:bookmarkStart w:id="26" w:name="_Toc21255"/>
      <w:r>
        <w:rPr>
          <w:rFonts w:hint="eastAsia" w:ascii="仿宋_GB2312" w:hAnsi="Times New Roman" w:eastAsia="仿宋_GB2312" w:cs="仿宋_GB2312"/>
          <w:b/>
          <w:bCs/>
          <w:sz w:val="32"/>
          <w:szCs w:val="32"/>
        </w:rPr>
        <w:t>（一）严守安全底线，夯实基层稳定根基</w:t>
      </w:r>
      <w:bookmarkEnd w:id="25"/>
    </w:p>
    <w:p w14:paraId="632D194E">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社区矫正层面，落实矫正对象日常报到、实地走访、动态定级管控举措，在册社区矫正对象实现零脱管、零漏管、零虚管，矫正对象重新违法犯罪率控制在</w:t>
      </w:r>
      <w:r>
        <w:rPr>
          <w:rFonts w:ascii="仿宋_GB2312" w:hAnsi="Times New Roman" w:eastAsia="仿宋_GB2312" w:cs="仿宋_GB2312"/>
          <w:sz w:val="32"/>
          <w:szCs w:val="32"/>
        </w:rPr>
        <w:t>0.05%</w:t>
      </w:r>
      <w:r>
        <w:rPr>
          <w:rFonts w:hint="eastAsia" w:ascii="仿宋_GB2312" w:hAnsi="Times New Roman" w:eastAsia="仿宋_GB2312" w:cs="仿宋_GB2312"/>
          <w:sz w:val="32"/>
          <w:szCs w:val="32"/>
        </w:rPr>
        <w:t>，守住安全底线。纠纷调处层面，深化公调对接、医患纠纷调解机制建设，压实基层调解“第一道防线”职能，全年一般纠纷向复杂纠纷转化、民转刑案件、群众越级上访三项指标均为零，从源头上遏制了不稳定因素，进一步夯实社会治安与基层治理稳定根基。</w:t>
      </w:r>
    </w:p>
    <w:p w14:paraId="2A1C7565">
      <w:pPr>
        <w:spacing w:line="560" w:lineRule="exact"/>
        <w:ind w:firstLine="643" w:firstLineChars="200"/>
        <w:outlineLvl w:val="1"/>
        <w:rPr>
          <w:rFonts w:ascii="仿宋_GB2312" w:hAnsi="Times New Roman" w:eastAsia="仿宋_GB2312" w:cs="Times New Roman"/>
          <w:b/>
          <w:bCs/>
          <w:sz w:val="32"/>
          <w:szCs w:val="32"/>
        </w:rPr>
      </w:pPr>
      <w:bookmarkStart w:id="27" w:name="_Toc13825"/>
      <w:r>
        <w:rPr>
          <w:rFonts w:hint="eastAsia" w:ascii="仿宋_GB2312" w:hAnsi="Times New Roman" w:eastAsia="仿宋_GB2312" w:cs="仿宋_GB2312"/>
          <w:b/>
          <w:bCs/>
          <w:sz w:val="32"/>
          <w:szCs w:val="32"/>
        </w:rPr>
        <w:t>（二）监管帮扶并重，提升成功率满意度</w:t>
      </w:r>
      <w:bookmarkEnd w:id="27"/>
    </w:p>
    <w:p w14:paraId="3904B506">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从矫正对象改造自新、群众纠纷解难两端发力，践行为人民服务宗旨，切实提升群众获得感和满意度。坚持监管与帮扶并重，做好矫正对象教育转化工作，</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年市司法局组织进监警示教育活动</w:t>
      </w:r>
      <w:r>
        <w:rPr>
          <w:rFonts w:ascii="仿宋_GB2312" w:hAnsi="Times New Roman" w:eastAsia="仿宋_GB2312" w:cs="仿宋_GB2312"/>
          <w:sz w:val="32"/>
          <w:szCs w:val="32"/>
        </w:rPr>
        <w:t>24</w:t>
      </w:r>
      <w:r>
        <w:rPr>
          <w:rFonts w:hint="eastAsia" w:ascii="仿宋_GB2312" w:hAnsi="Times New Roman" w:eastAsia="仿宋_GB2312" w:cs="仿宋_GB2312"/>
          <w:sz w:val="32"/>
          <w:szCs w:val="32"/>
        </w:rPr>
        <w:t>场次，打造建邺区“解结消怨守法明理”、江北新区“认识自我‘新’心出发”等</w:t>
      </w:r>
      <w:r>
        <w:rPr>
          <w:rFonts w:ascii="仿宋_GB2312" w:hAnsi="Times New Roman" w:eastAsia="仿宋_GB2312" w:cs="仿宋_GB2312"/>
          <w:sz w:val="32"/>
          <w:szCs w:val="32"/>
        </w:rPr>
        <w:t>12</w:t>
      </w:r>
      <w:r>
        <w:rPr>
          <w:rFonts w:hint="eastAsia" w:ascii="仿宋_GB2312" w:hAnsi="Times New Roman" w:eastAsia="仿宋_GB2312" w:cs="仿宋_GB2312"/>
          <w:sz w:val="32"/>
          <w:szCs w:val="32"/>
        </w:rPr>
        <w:t>个个性化损害修复特色项目，分类施策精准帮扶，社区矫正对象满意度为</w:t>
      </w:r>
      <w:r>
        <w:rPr>
          <w:rFonts w:ascii="仿宋_GB2312" w:hAnsi="Times New Roman" w:eastAsia="仿宋_GB2312" w:cs="仿宋_GB2312"/>
          <w:sz w:val="32"/>
          <w:szCs w:val="32"/>
        </w:rPr>
        <w:t>97.72%</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年依托公调对接、医患纠纷调解机制，化解各类矛盾纠纷近</w:t>
      </w:r>
      <w:r>
        <w:rPr>
          <w:rFonts w:ascii="仿宋_GB2312" w:hAnsi="Times New Roman" w:eastAsia="仿宋_GB2312" w:cs="仿宋_GB2312"/>
          <w:sz w:val="32"/>
          <w:szCs w:val="32"/>
        </w:rPr>
        <w:t>8</w:t>
      </w:r>
      <w:r>
        <w:rPr>
          <w:rFonts w:hint="eastAsia" w:ascii="仿宋_GB2312" w:hAnsi="Times New Roman" w:eastAsia="仿宋_GB2312" w:cs="仿宋_GB2312"/>
          <w:sz w:val="32"/>
          <w:szCs w:val="32"/>
        </w:rPr>
        <w:t>万件，其中全市公调对接案件调解成功率</w:t>
      </w:r>
      <w:r>
        <w:rPr>
          <w:rFonts w:ascii="仿宋_GB2312" w:hAnsi="Times New Roman" w:eastAsia="仿宋_GB2312" w:cs="仿宋_GB2312"/>
          <w:sz w:val="32"/>
          <w:szCs w:val="32"/>
        </w:rPr>
        <w:t>99.37%</w:t>
      </w:r>
      <w:r>
        <w:rPr>
          <w:rFonts w:hint="eastAsia" w:ascii="仿宋_GB2312" w:hAnsi="Times New Roman" w:eastAsia="仿宋_GB2312" w:cs="仿宋_GB2312"/>
          <w:sz w:val="32"/>
          <w:szCs w:val="32"/>
        </w:rPr>
        <w:t>、医调案件调处成功率</w:t>
      </w:r>
      <w:r>
        <w:rPr>
          <w:rFonts w:ascii="仿宋_GB2312" w:hAnsi="Times New Roman" w:eastAsia="仿宋_GB2312" w:cs="仿宋_GB2312"/>
          <w:sz w:val="32"/>
          <w:szCs w:val="32"/>
        </w:rPr>
        <w:t>97.87%</w:t>
      </w:r>
      <w:r>
        <w:rPr>
          <w:rFonts w:hint="eastAsia" w:ascii="仿宋_GB2312" w:hAnsi="Times New Roman" w:eastAsia="仿宋_GB2312" w:cs="仿宋_GB2312"/>
          <w:sz w:val="32"/>
          <w:szCs w:val="32"/>
        </w:rPr>
        <w:t>，调解满意度达</w:t>
      </w:r>
      <w:r>
        <w:rPr>
          <w:rFonts w:ascii="仿宋_GB2312" w:hAnsi="Times New Roman" w:eastAsia="仿宋_GB2312" w:cs="仿宋_GB2312"/>
          <w:sz w:val="32"/>
          <w:szCs w:val="32"/>
        </w:rPr>
        <w:t>96.16%</w:t>
      </w:r>
      <w:r>
        <w:rPr>
          <w:rFonts w:hint="eastAsia" w:ascii="仿宋_GB2312" w:hAnsi="Times New Roman" w:eastAsia="仿宋_GB2312" w:cs="仿宋_GB2312"/>
          <w:sz w:val="32"/>
          <w:szCs w:val="32"/>
        </w:rPr>
        <w:t>。</w:t>
      </w:r>
    </w:p>
    <w:p w14:paraId="5AF66C88">
      <w:pPr>
        <w:spacing w:line="560" w:lineRule="exact"/>
        <w:ind w:firstLine="643" w:firstLineChars="200"/>
        <w:outlineLvl w:val="1"/>
        <w:rPr>
          <w:rFonts w:ascii="仿宋_GB2312" w:hAnsi="Times New Roman" w:eastAsia="仿宋_GB2312" w:cs="Times New Roman"/>
          <w:b/>
          <w:bCs/>
          <w:sz w:val="32"/>
          <w:szCs w:val="32"/>
        </w:rPr>
      </w:pPr>
      <w:bookmarkStart w:id="28" w:name="_Toc18129"/>
      <w:r>
        <w:rPr>
          <w:rFonts w:hint="eastAsia" w:ascii="仿宋_GB2312" w:hAnsi="Times New Roman" w:eastAsia="仿宋_GB2312" w:cs="仿宋_GB2312"/>
          <w:b/>
          <w:bCs/>
          <w:sz w:val="32"/>
          <w:szCs w:val="32"/>
        </w:rPr>
        <w:t>（三）优化管控模式，创新社矫治理体系</w:t>
      </w:r>
      <w:bookmarkEnd w:id="28"/>
    </w:p>
    <w:p w14:paraId="62E129A1">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持续创新和不断优化社区矫正基层治理模式，构建精细化管控、柔性化矫治、心理化干预的现代化社区矫正治理体系。全市依托“宁智矫”智慧监管平台，破解定位漂移、人机分离、线上报备、信息化核查等监管痛点，提升监管效能。对矫正对象开展心理筛查，疏导负面情绪、矫正认知偏差，助力矫正对象重塑健康心理与法治观念。江北新区创新推行“束心塑行”“日行一善”“志愿服务”“读书会”等特色柔化监管项目，刚柔并济助力矫正对象顺利回归社会。</w:t>
      </w:r>
    </w:p>
    <w:p w14:paraId="219D737B">
      <w:pPr>
        <w:spacing w:line="560" w:lineRule="exact"/>
        <w:ind w:firstLine="643" w:firstLineChars="200"/>
        <w:outlineLvl w:val="1"/>
        <w:rPr>
          <w:rFonts w:ascii="仿宋_GB2312" w:hAnsi="Times New Roman" w:eastAsia="仿宋_GB2312" w:cs="Times New Roman"/>
          <w:b/>
          <w:bCs/>
          <w:sz w:val="32"/>
          <w:szCs w:val="32"/>
        </w:rPr>
      </w:pPr>
      <w:bookmarkStart w:id="29" w:name="_Toc27164"/>
      <w:r>
        <w:rPr>
          <w:rFonts w:hint="eastAsia" w:ascii="仿宋_GB2312" w:hAnsi="Times New Roman" w:eastAsia="仿宋_GB2312" w:cs="仿宋_GB2312"/>
          <w:b/>
          <w:bCs/>
          <w:sz w:val="32"/>
          <w:szCs w:val="32"/>
        </w:rPr>
        <w:t>（四）强化协同联动，完善多元共治格局</w:t>
      </w:r>
      <w:bookmarkEnd w:id="29"/>
    </w:p>
    <w:p w14:paraId="23691018">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社区矫正方面，市司法局联动公安、社区及志愿者等多方力量，依托全市</w:t>
      </w:r>
      <w:r>
        <w:rPr>
          <w:rFonts w:ascii="仿宋_GB2312" w:hAnsi="Times New Roman" w:eastAsia="仿宋_GB2312" w:cs="仿宋_GB2312"/>
          <w:sz w:val="32"/>
          <w:szCs w:val="32"/>
        </w:rPr>
        <w:t>112</w:t>
      </w:r>
      <w:r>
        <w:rPr>
          <w:rFonts w:hint="eastAsia" w:ascii="仿宋_GB2312" w:hAnsi="Times New Roman" w:eastAsia="仿宋_GB2312" w:cs="仿宋_GB2312"/>
          <w:sz w:val="32"/>
          <w:szCs w:val="32"/>
        </w:rPr>
        <w:t>个司法所和</w:t>
      </w:r>
      <w:r>
        <w:rPr>
          <w:rFonts w:ascii="仿宋_GB2312" w:hAnsi="Times New Roman" w:eastAsia="仿宋_GB2312" w:cs="仿宋_GB2312"/>
          <w:sz w:val="32"/>
          <w:szCs w:val="32"/>
        </w:rPr>
        <w:t>12</w:t>
      </w:r>
      <w:r>
        <w:rPr>
          <w:rFonts w:hint="eastAsia" w:ascii="仿宋_GB2312" w:hAnsi="Times New Roman" w:eastAsia="仿宋_GB2312" w:cs="仿宋_GB2312"/>
          <w:sz w:val="32"/>
          <w:szCs w:val="32"/>
        </w:rPr>
        <w:t>个社区矫正中心，同时引入第三方社会组织参与矫治帮扶，构建多方协同、社会参与的社区矫正治理格局。公调对接方面，推动派出所与司法所常态化联勤联动、联合调处，全市已建成规范化驻所调解室</w:t>
      </w:r>
      <w:r>
        <w:rPr>
          <w:rFonts w:ascii="仿宋_GB2312" w:hAnsi="Times New Roman" w:eastAsia="仿宋_GB2312" w:cs="仿宋_GB2312"/>
          <w:sz w:val="32"/>
          <w:szCs w:val="32"/>
        </w:rPr>
        <w:t>142</w:t>
      </w:r>
      <w:r>
        <w:rPr>
          <w:rFonts w:hint="eastAsia" w:ascii="仿宋_GB2312" w:hAnsi="Times New Roman" w:eastAsia="仿宋_GB2312" w:cs="仿宋_GB2312"/>
          <w:sz w:val="32"/>
          <w:szCs w:val="32"/>
        </w:rPr>
        <w:t>个，配备专职调解员近</w:t>
      </w:r>
      <w:r>
        <w:rPr>
          <w:rFonts w:ascii="仿宋_GB2312" w:hAnsi="Times New Roman" w:eastAsia="仿宋_GB2312" w:cs="仿宋_GB2312"/>
          <w:sz w:val="32"/>
          <w:szCs w:val="32"/>
        </w:rPr>
        <w:t>500</w:t>
      </w:r>
      <w:r>
        <w:rPr>
          <w:rFonts w:hint="eastAsia" w:ascii="仿宋_GB2312" w:hAnsi="Times New Roman" w:eastAsia="仿宋_GB2312" w:cs="仿宋_GB2312"/>
          <w:sz w:val="32"/>
          <w:szCs w:val="32"/>
        </w:rPr>
        <w:t>名，形成高效联动、快速处置的工作机制。医患纠纷调解方面，整合卫健、医院、医调委等多方资源，组建专业化调解队伍。全市整合各方资源、跨部门协同共治，持续完善多元化共治格局。</w:t>
      </w:r>
    </w:p>
    <w:p w14:paraId="6831170F">
      <w:pPr>
        <w:pStyle w:val="27"/>
        <w:numPr>
          <w:ilvl w:val="0"/>
          <w:numId w:val="1"/>
        </w:numPr>
        <w:spacing w:line="560" w:lineRule="exact"/>
        <w:ind w:firstLineChars="0"/>
        <w:outlineLvl w:val="0"/>
        <w:rPr>
          <w:rFonts w:ascii="仿宋_GB2312" w:hAnsi="Times New Roman" w:eastAsia="仿宋_GB2312" w:cs="Times New Roman"/>
          <w:b/>
          <w:bCs/>
          <w:sz w:val="32"/>
          <w:szCs w:val="32"/>
        </w:rPr>
      </w:pPr>
      <w:bookmarkStart w:id="30" w:name="_Toc313"/>
      <w:bookmarkStart w:id="31" w:name="_Toc165214294"/>
      <w:r>
        <w:rPr>
          <w:rFonts w:hint="eastAsia" w:ascii="仿宋_GB2312" w:hAnsi="Times New Roman" w:eastAsia="仿宋_GB2312" w:cs="仿宋_GB2312"/>
          <w:b/>
          <w:bCs/>
          <w:sz w:val="32"/>
          <w:szCs w:val="32"/>
        </w:rPr>
        <w:t>存在的问题及原因分析</w:t>
      </w:r>
      <w:bookmarkEnd w:id="26"/>
      <w:bookmarkEnd w:id="30"/>
      <w:bookmarkEnd w:id="31"/>
    </w:p>
    <w:p w14:paraId="4795391F">
      <w:pPr>
        <w:spacing w:line="560" w:lineRule="exact"/>
        <w:ind w:firstLine="643" w:firstLineChars="200"/>
        <w:outlineLvl w:val="1"/>
        <w:rPr>
          <w:rFonts w:ascii="仿宋_GB2312" w:hAnsi="Times New Roman" w:eastAsia="仿宋_GB2312" w:cs="Times New Roman"/>
          <w:b/>
          <w:bCs/>
          <w:sz w:val="32"/>
          <w:szCs w:val="32"/>
        </w:rPr>
      </w:pPr>
      <w:bookmarkStart w:id="32" w:name="_Toc29268"/>
      <w:r>
        <w:rPr>
          <w:rFonts w:hint="eastAsia" w:ascii="仿宋_GB2312" w:hAnsi="Times New Roman" w:eastAsia="仿宋_GB2312" w:cs="仿宋_GB2312"/>
          <w:b/>
          <w:bCs/>
          <w:sz w:val="32"/>
          <w:szCs w:val="32"/>
        </w:rPr>
        <w:t>（一）智慧矫正手段需不断加强</w:t>
      </w:r>
      <w:bookmarkEnd w:id="32"/>
    </w:p>
    <w:p w14:paraId="2B867F37">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近年来，全市积极推行用智慧化信息手段开展社区矫正工作，各矫正机构同时使用江苏省智慧矫正一体化平台（省司法厅开发的规范化考评体系，承担社区矫正数据归集、宏观监管、跨区域协同及终审管理等职能）和“宁智矫”平台（南京市特色应用平台，手机端操作，用于日常监管、教育矫治、智能核查等一线工作，集人员管控、行踪监控、语音点验、电话汇报、异常分析等核心功能于一体，能有效补充省平台的功能不足）。</w:t>
      </w:r>
    </w:p>
    <w:p w14:paraId="6C49835A">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以</w:t>
      </w:r>
      <w:r>
        <w:rPr>
          <w:rFonts w:ascii="仿宋_GB2312" w:hAnsi="Times New Roman" w:eastAsia="仿宋_GB2312" w:cs="仿宋_GB2312"/>
          <w:sz w:val="32"/>
          <w:szCs w:val="32"/>
        </w:rPr>
        <w:t>2026</w:t>
      </w:r>
      <w:r>
        <w:rPr>
          <w:rFonts w:hint="eastAsia" w:ascii="仿宋_GB2312" w:hAnsi="Times New Roman" w:eastAsia="仿宋_GB2312" w:cs="仿宋_GB2312"/>
          <w:sz w:val="32"/>
          <w:szCs w:val="32"/>
        </w:rPr>
        <w:t>年</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月</w:t>
      </w:r>
      <w:r>
        <w:rPr>
          <w:rFonts w:ascii="仿宋_GB2312" w:hAnsi="Times New Roman" w:eastAsia="仿宋_GB2312" w:cs="仿宋_GB2312"/>
          <w:sz w:val="32"/>
          <w:szCs w:val="32"/>
        </w:rPr>
        <w:t>30</w:t>
      </w:r>
      <w:r>
        <w:rPr>
          <w:rFonts w:hint="eastAsia" w:ascii="仿宋_GB2312" w:hAnsi="Times New Roman" w:eastAsia="仿宋_GB2312" w:cs="仿宋_GB2312"/>
          <w:sz w:val="32"/>
          <w:szCs w:val="32"/>
        </w:rPr>
        <w:t>日为时间节点，全市在册矫正对象</w:t>
      </w:r>
      <w:r>
        <w:rPr>
          <w:rFonts w:ascii="仿宋_GB2312" w:hAnsi="Times New Roman" w:eastAsia="仿宋_GB2312" w:cs="仿宋_GB2312"/>
          <w:sz w:val="32"/>
          <w:szCs w:val="32"/>
        </w:rPr>
        <w:t>3859</w:t>
      </w:r>
      <w:r>
        <w:rPr>
          <w:rFonts w:hint="eastAsia" w:ascii="仿宋_GB2312" w:hAnsi="Times New Roman" w:eastAsia="仿宋_GB2312" w:cs="仿宋_GB2312"/>
          <w:sz w:val="32"/>
          <w:szCs w:val="32"/>
        </w:rPr>
        <w:t>人，开通“宁智矫”的有</w:t>
      </w:r>
      <w:r>
        <w:rPr>
          <w:rFonts w:ascii="仿宋_GB2312" w:hAnsi="Times New Roman" w:eastAsia="仿宋_GB2312" w:cs="仿宋_GB2312"/>
          <w:sz w:val="32"/>
          <w:szCs w:val="32"/>
        </w:rPr>
        <w:t>2763</w:t>
      </w:r>
      <w:r>
        <w:rPr>
          <w:rFonts w:hint="eastAsia" w:ascii="仿宋_GB2312" w:hAnsi="Times New Roman" w:eastAsia="仿宋_GB2312" w:cs="仿宋_GB2312"/>
          <w:sz w:val="32"/>
          <w:szCs w:val="32"/>
        </w:rPr>
        <w:t>人，使用比例为</w:t>
      </w:r>
      <w:r>
        <w:rPr>
          <w:rFonts w:ascii="仿宋_GB2312" w:hAnsi="Times New Roman" w:eastAsia="仿宋_GB2312" w:cs="仿宋_GB2312"/>
          <w:sz w:val="32"/>
          <w:szCs w:val="32"/>
        </w:rPr>
        <w:t>71.60%</w:t>
      </w:r>
      <w:r>
        <w:rPr>
          <w:rFonts w:hint="eastAsia" w:ascii="仿宋_GB2312" w:hAnsi="Times New Roman" w:eastAsia="仿宋_GB2312" w:cs="仿宋_GB2312"/>
          <w:sz w:val="32"/>
          <w:szCs w:val="32"/>
        </w:rPr>
        <w:t>，纳入“宁智矫”平台管理的人员比例不高，且各区使用差距较大，最高的江北新区使用率达</w:t>
      </w:r>
      <w:r>
        <w:rPr>
          <w:rFonts w:ascii="仿宋_GB2312" w:hAnsi="Times New Roman" w:eastAsia="仿宋_GB2312" w:cs="仿宋_GB2312"/>
          <w:sz w:val="32"/>
          <w:szCs w:val="32"/>
        </w:rPr>
        <w:t>98.75%</w:t>
      </w:r>
      <w:r>
        <w:rPr>
          <w:rFonts w:hint="eastAsia" w:ascii="仿宋_GB2312" w:hAnsi="Times New Roman" w:eastAsia="仿宋_GB2312" w:cs="仿宋_GB2312"/>
          <w:sz w:val="32"/>
          <w:szCs w:val="32"/>
        </w:rPr>
        <w:t>，最低的溧水区仅有</w:t>
      </w:r>
      <w:r>
        <w:rPr>
          <w:rFonts w:ascii="仿宋_GB2312" w:hAnsi="Times New Roman" w:eastAsia="仿宋_GB2312" w:cs="仿宋_GB2312"/>
          <w:sz w:val="32"/>
          <w:szCs w:val="32"/>
        </w:rPr>
        <w:t>9.54%</w:t>
      </w:r>
      <w:r>
        <w:rPr>
          <w:rFonts w:hint="eastAsia" w:ascii="仿宋_GB2312" w:hAnsi="Times New Roman" w:eastAsia="仿宋_GB2312" w:cs="仿宋_GB2312"/>
          <w:sz w:val="32"/>
          <w:szCs w:val="32"/>
        </w:rPr>
        <w:t>。“宁智矫”信息化手段使用率偏低且在各区推进不均的主要原因，一是使用成本费用较高（人均约为</w:t>
      </w:r>
      <w:r>
        <w:rPr>
          <w:rFonts w:ascii="仿宋_GB2312" w:hAnsi="Times New Roman" w:eastAsia="仿宋_GB2312" w:cs="仿宋_GB2312"/>
          <w:sz w:val="32"/>
          <w:szCs w:val="32"/>
        </w:rPr>
        <w:t>50</w:t>
      </w:r>
      <w:r>
        <w:rPr>
          <w:rFonts w:hint="eastAsia" w:ascii="仿宋_GB2312" w:hAnsi="Times New Roman" w:eastAsia="仿宋_GB2312" w:cs="仿宋_GB2312"/>
          <w:sz w:val="32"/>
          <w:szCs w:val="32"/>
        </w:rPr>
        <w:t>元</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月），个别区因资金保障压力，仅对重点人员开通了“宁智矫”平台。二是部分矫正对象年龄偏大，不会使用“宁智矫”平台。三是个别矫正对象因个人原因，未购置智能手机。</w:t>
      </w:r>
    </w:p>
    <w:p w14:paraId="09314481">
      <w:pPr>
        <w:spacing w:line="560" w:lineRule="exact"/>
        <w:ind w:firstLine="643" w:firstLineChars="200"/>
        <w:outlineLvl w:val="1"/>
        <w:rPr>
          <w:rFonts w:ascii="仿宋_GB2312" w:hAnsi="Times New Roman" w:eastAsia="仿宋_GB2312" w:cs="Times New Roman"/>
          <w:b/>
          <w:bCs/>
          <w:sz w:val="32"/>
          <w:szCs w:val="32"/>
        </w:rPr>
      </w:pPr>
      <w:bookmarkStart w:id="33" w:name="_Toc3935"/>
      <w:r>
        <w:rPr>
          <w:rFonts w:hint="eastAsia" w:ascii="仿宋_GB2312" w:hAnsi="Times New Roman" w:eastAsia="仿宋_GB2312" w:cs="仿宋_GB2312"/>
          <w:b/>
          <w:bCs/>
          <w:sz w:val="32"/>
          <w:szCs w:val="32"/>
        </w:rPr>
        <w:t>（二）执行业务流程需进一步规范</w:t>
      </w:r>
      <w:bookmarkEnd w:id="33"/>
    </w:p>
    <w:p w14:paraId="15735FA1">
      <w:pPr>
        <w:spacing w:line="560" w:lineRule="exact"/>
        <w:ind w:firstLine="643" w:firstLineChars="200"/>
        <w:rPr>
          <w:rFonts w:ascii="仿宋_GB2312" w:hAnsi="Times New Roman" w:eastAsia="仿宋_GB2312" w:cs="Times New Roman"/>
          <w:sz w:val="32"/>
          <w:szCs w:val="32"/>
        </w:rPr>
      </w:pPr>
      <w:r>
        <w:rPr>
          <w:rFonts w:hint="eastAsia" w:ascii="仿宋_GB2312" w:hAnsi="Times New Roman" w:eastAsia="仿宋_GB2312" w:cs="仿宋_GB2312"/>
          <w:b/>
          <w:bCs/>
          <w:sz w:val="32"/>
          <w:szCs w:val="32"/>
        </w:rPr>
        <w:t>一是部分公调案件回访不及时，个别案件有漏访现象。</w:t>
      </w:r>
      <w:r>
        <w:rPr>
          <w:rFonts w:hint="eastAsia" w:ascii="仿宋_GB2312" w:hAnsi="Times New Roman" w:eastAsia="仿宋_GB2312" w:cs="仿宋_GB2312"/>
          <w:sz w:val="32"/>
          <w:szCs w:val="32"/>
        </w:rPr>
        <w:t>在抽取的</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年度公调对接</w:t>
      </w:r>
      <w:r>
        <w:rPr>
          <w:rFonts w:ascii="仿宋_GB2312" w:hAnsi="Times New Roman" w:eastAsia="仿宋_GB2312" w:cs="仿宋_GB2312"/>
          <w:sz w:val="32"/>
          <w:szCs w:val="32"/>
        </w:rPr>
        <w:t>69</w:t>
      </w:r>
      <w:r>
        <w:rPr>
          <w:rFonts w:hint="eastAsia" w:ascii="仿宋_GB2312" w:hAnsi="Times New Roman" w:eastAsia="仿宋_GB2312" w:cs="仿宋_GB2312"/>
          <w:sz w:val="32"/>
          <w:szCs w:val="32"/>
        </w:rPr>
        <w:t>份卷宗中，有</w:t>
      </w:r>
      <w:r>
        <w:rPr>
          <w:rFonts w:ascii="仿宋_GB2312" w:hAnsi="Times New Roman" w:eastAsia="仿宋_GB2312" w:cs="仿宋_GB2312"/>
          <w:sz w:val="32"/>
          <w:szCs w:val="32"/>
        </w:rPr>
        <w:t>56</w:t>
      </w:r>
      <w:r>
        <w:rPr>
          <w:rFonts w:hint="eastAsia" w:ascii="仿宋_GB2312" w:hAnsi="Times New Roman" w:eastAsia="仿宋_GB2312" w:cs="仿宋_GB2312"/>
          <w:sz w:val="32"/>
          <w:szCs w:val="32"/>
        </w:rPr>
        <w:t>件完成跟踪回访，未跟踪回访案件</w:t>
      </w:r>
      <w:r>
        <w:rPr>
          <w:rFonts w:ascii="仿宋_GB2312" w:hAnsi="Times New Roman" w:eastAsia="仿宋_GB2312" w:cs="仿宋_GB2312"/>
          <w:sz w:val="32"/>
          <w:szCs w:val="32"/>
        </w:rPr>
        <w:t>13</w:t>
      </w:r>
      <w:r>
        <w:rPr>
          <w:rFonts w:hint="eastAsia" w:ascii="仿宋_GB2312" w:hAnsi="Times New Roman" w:eastAsia="仿宋_GB2312" w:cs="仿宋_GB2312"/>
          <w:sz w:val="32"/>
          <w:szCs w:val="32"/>
        </w:rPr>
        <w:t>件，占比</w:t>
      </w:r>
      <w:r>
        <w:rPr>
          <w:rFonts w:ascii="仿宋_GB2312" w:hAnsi="Times New Roman" w:eastAsia="仿宋_GB2312" w:cs="仿宋_GB2312"/>
          <w:sz w:val="32"/>
          <w:szCs w:val="32"/>
        </w:rPr>
        <w:t>18.84%</w:t>
      </w:r>
      <w:r>
        <w:rPr>
          <w:rFonts w:hint="eastAsia" w:ascii="仿宋_GB2312" w:hAnsi="Times New Roman" w:eastAsia="仿宋_GB2312" w:cs="仿宋_GB2312"/>
          <w:sz w:val="32"/>
          <w:szCs w:val="32"/>
        </w:rPr>
        <w:t>。在</w:t>
      </w:r>
      <w:r>
        <w:rPr>
          <w:rFonts w:ascii="仿宋_GB2312" w:hAnsi="Times New Roman" w:eastAsia="仿宋_GB2312" w:cs="仿宋_GB2312"/>
          <w:sz w:val="32"/>
          <w:szCs w:val="32"/>
        </w:rPr>
        <w:t>56</w:t>
      </w:r>
      <w:r>
        <w:rPr>
          <w:rFonts w:hint="eastAsia" w:ascii="仿宋_GB2312" w:hAnsi="Times New Roman" w:eastAsia="仿宋_GB2312" w:cs="仿宋_GB2312"/>
          <w:sz w:val="32"/>
          <w:szCs w:val="32"/>
        </w:rPr>
        <w:t>件完成跟踪回访的案件中，</w:t>
      </w:r>
      <w:r>
        <w:rPr>
          <w:rFonts w:ascii="仿宋_GB2312" w:hAnsi="Times New Roman" w:eastAsia="仿宋_GB2312" w:cs="仿宋_GB2312"/>
          <w:sz w:val="32"/>
          <w:szCs w:val="32"/>
        </w:rPr>
        <w:t>15</w:t>
      </w:r>
      <w:r>
        <w:rPr>
          <w:rFonts w:hint="eastAsia" w:ascii="仿宋_GB2312" w:hAnsi="Times New Roman" w:eastAsia="仿宋_GB2312" w:cs="仿宋_GB2312"/>
          <w:sz w:val="32"/>
          <w:szCs w:val="32"/>
        </w:rPr>
        <w:t>日内完成回访的有</w:t>
      </w:r>
      <w:r>
        <w:rPr>
          <w:rFonts w:ascii="仿宋_GB2312" w:hAnsi="Times New Roman" w:eastAsia="仿宋_GB2312" w:cs="仿宋_GB2312"/>
          <w:sz w:val="32"/>
          <w:szCs w:val="32"/>
        </w:rPr>
        <w:t>51</w:t>
      </w:r>
      <w:r>
        <w:rPr>
          <w:rFonts w:hint="eastAsia" w:ascii="仿宋_GB2312" w:hAnsi="Times New Roman" w:eastAsia="仿宋_GB2312" w:cs="仿宋_GB2312"/>
          <w:sz w:val="32"/>
          <w:szCs w:val="32"/>
        </w:rPr>
        <w:t>件，超时跟踪回访</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件，跟踪回访及时率</w:t>
      </w:r>
      <w:r>
        <w:rPr>
          <w:rFonts w:ascii="仿宋_GB2312" w:hAnsi="Times New Roman" w:eastAsia="仿宋_GB2312" w:cs="仿宋_GB2312"/>
          <w:sz w:val="32"/>
          <w:szCs w:val="32"/>
        </w:rPr>
        <w:t>91.07%</w:t>
      </w:r>
      <w:r>
        <w:rPr>
          <w:rFonts w:hint="eastAsia" w:ascii="仿宋_GB2312" w:hAnsi="Times New Roman" w:eastAsia="仿宋_GB2312" w:cs="仿宋_GB2312"/>
          <w:sz w:val="32"/>
          <w:szCs w:val="32"/>
        </w:rPr>
        <w:t>，低于目标值</w:t>
      </w:r>
      <w:r>
        <w:rPr>
          <w:rFonts w:ascii="仿宋_GB2312" w:hAnsi="Times New Roman" w:eastAsia="仿宋_GB2312" w:cs="仿宋_GB2312"/>
          <w:sz w:val="32"/>
          <w:szCs w:val="32"/>
        </w:rPr>
        <w:t>100%</w:t>
      </w:r>
      <w:r>
        <w:rPr>
          <w:rFonts w:hint="eastAsia" w:ascii="仿宋_GB2312" w:hAnsi="Times New Roman" w:eastAsia="仿宋_GB2312" w:cs="仿宋_GB2312"/>
          <w:sz w:val="32"/>
          <w:szCs w:val="32"/>
        </w:rPr>
        <w:t>。</w:t>
      </w:r>
      <w:r>
        <w:rPr>
          <w:rFonts w:hint="eastAsia" w:ascii="仿宋_GB2312" w:hAnsi="Times New Roman" w:eastAsia="仿宋_GB2312" w:cs="仿宋_GB2312"/>
          <w:b/>
          <w:bCs/>
          <w:sz w:val="32"/>
          <w:szCs w:val="32"/>
        </w:rPr>
        <w:t>二是个别公调对接归档资料不完整。</w:t>
      </w:r>
      <w:r>
        <w:rPr>
          <w:rFonts w:hint="eastAsia" w:ascii="仿宋_GB2312" w:hAnsi="Times New Roman" w:eastAsia="仿宋_GB2312" w:cs="仿宋_GB2312"/>
          <w:sz w:val="32"/>
          <w:szCs w:val="32"/>
        </w:rPr>
        <w:t>如雨花台区林某某与田某某言语争执纠纷（卷宗第</w:t>
      </w:r>
      <w:r>
        <w:rPr>
          <w:rFonts w:ascii="仿宋_GB2312" w:hAnsi="Times New Roman" w:eastAsia="仿宋_GB2312" w:cs="仿宋_GB2312"/>
          <w:sz w:val="32"/>
          <w:szCs w:val="32"/>
        </w:rPr>
        <w:t>523</w:t>
      </w:r>
      <w:r>
        <w:rPr>
          <w:rFonts w:hint="eastAsia" w:ascii="仿宋_GB2312" w:hAnsi="Times New Roman" w:eastAsia="仿宋_GB2312" w:cs="仿宋_GB2312"/>
          <w:sz w:val="32"/>
          <w:szCs w:val="32"/>
        </w:rPr>
        <w:t>号）和雨花台区单某某与蔡某某口角纠纷调解案件（卷宗第</w:t>
      </w:r>
      <w:r>
        <w:rPr>
          <w:rFonts w:ascii="仿宋_GB2312" w:hAnsi="Times New Roman" w:eastAsia="仿宋_GB2312" w:cs="仿宋_GB2312"/>
          <w:sz w:val="32"/>
          <w:szCs w:val="32"/>
        </w:rPr>
        <w:t>525</w:t>
      </w:r>
      <w:r>
        <w:rPr>
          <w:rFonts w:hint="eastAsia" w:ascii="仿宋_GB2312" w:hAnsi="Times New Roman" w:eastAsia="仿宋_GB2312" w:cs="仿宋_GB2312"/>
          <w:sz w:val="32"/>
          <w:szCs w:val="32"/>
        </w:rPr>
        <w:t>号），两份卷宗仅有矛盾纠纷移送审批表、人民调解协议书及转账凭证（协议履行材料），无人民调解申请书、受理登记表、人民调解记录和回访记录。</w:t>
      </w:r>
      <w:r>
        <w:rPr>
          <w:rFonts w:hint="eastAsia" w:ascii="仿宋_GB2312" w:hAnsi="Times New Roman" w:eastAsia="仿宋_GB2312" w:cs="仿宋_GB2312"/>
          <w:b/>
          <w:bCs/>
          <w:sz w:val="32"/>
          <w:szCs w:val="32"/>
        </w:rPr>
        <w:t>三是存在矫正信息更新、公告不及时现象。</w:t>
      </w:r>
      <w:r>
        <w:rPr>
          <w:rFonts w:hint="eastAsia" w:ascii="仿宋_GB2312" w:hAnsi="Times New Roman" w:eastAsia="仿宋_GB2312" w:cs="仿宋_GB2312"/>
          <w:sz w:val="32"/>
          <w:szCs w:val="32"/>
        </w:rPr>
        <w:t>如六合区社矫中心矫正工作人员公示信息更新滞后，江宁区社矫中心培训公告和矫正工作人员公示信息均未及时更新。</w:t>
      </w:r>
    </w:p>
    <w:p w14:paraId="4B971C4F">
      <w:pPr>
        <w:spacing w:line="560" w:lineRule="exact"/>
        <w:ind w:firstLine="643" w:firstLineChars="200"/>
        <w:outlineLvl w:val="1"/>
        <w:rPr>
          <w:rFonts w:ascii="仿宋_GB2312" w:hAnsi="Times New Roman" w:eastAsia="仿宋_GB2312" w:cs="Times New Roman"/>
          <w:b/>
          <w:bCs/>
          <w:color w:val="000000"/>
          <w:sz w:val="32"/>
          <w:szCs w:val="32"/>
        </w:rPr>
      </w:pPr>
      <w:bookmarkStart w:id="34" w:name="_Toc27672"/>
      <w:r>
        <w:rPr>
          <w:rFonts w:hint="eastAsia" w:ascii="仿宋_GB2312" w:hAnsi="Times New Roman" w:eastAsia="仿宋_GB2312" w:cs="仿宋_GB2312"/>
          <w:b/>
          <w:bCs/>
          <w:sz w:val="32"/>
          <w:szCs w:val="32"/>
        </w:rPr>
        <w:t>（三）</w:t>
      </w:r>
      <w:r>
        <w:rPr>
          <w:rFonts w:hint="eastAsia" w:ascii="仿宋_GB2312" w:hAnsi="Times New Roman" w:eastAsia="仿宋_GB2312" w:cs="仿宋_GB2312"/>
          <w:b/>
          <w:bCs/>
          <w:color w:val="000000"/>
          <w:sz w:val="32"/>
          <w:szCs w:val="32"/>
        </w:rPr>
        <w:t>专项资金管理需不断完善</w:t>
      </w:r>
      <w:bookmarkEnd w:id="34"/>
    </w:p>
    <w:p w14:paraId="6DD48148">
      <w:pPr>
        <w:spacing w:line="560" w:lineRule="exact"/>
        <w:ind w:firstLine="643" w:firstLineChars="200"/>
        <w:rPr>
          <w:rFonts w:ascii="仿宋_GB2312" w:hAnsi="Times New Roman" w:eastAsia="仿宋_GB2312" w:cs="Times New Roman"/>
          <w:sz w:val="32"/>
          <w:szCs w:val="32"/>
        </w:rPr>
      </w:pPr>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．专项资金管理办法有待补齐或整合。</w:t>
      </w:r>
      <w:r>
        <w:rPr>
          <w:rFonts w:hint="eastAsia" w:ascii="仿宋_GB2312" w:hAnsi="Times New Roman" w:eastAsia="仿宋_GB2312" w:cs="仿宋_GB2312"/>
          <w:sz w:val="32"/>
          <w:szCs w:val="32"/>
        </w:rPr>
        <w:t>目前，社区矫正资金有专门的管理办法，但人民调解资金只有相关部门出台的工作性文件，未针对资金管理作出具体规定。两项资金于</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年底整合后，资金管理办法也未进行归并完善，专项资金管理办法滞后于工作需要。</w:t>
      </w:r>
    </w:p>
    <w:p w14:paraId="4D676C1C">
      <w:pPr>
        <w:spacing w:line="560" w:lineRule="exact"/>
        <w:ind w:firstLine="643" w:firstLineChars="200"/>
        <w:rPr>
          <w:rFonts w:ascii="仿宋_GB2312" w:hAnsi="Times New Roman" w:eastAsia="仿宋_GB2312" w:cs="Times New Roman"/>
          <w:sz w:val="32"/>
          <w:szCs w:val="32"/>
        </w:rPr>
      </w:pPr>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公调对接资金补助额度和分配依据均有不足。</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年全市公调对接补助资金预算安排共</w:t>
      </w:r>
      <w:r>
        <w:rPr>
          <w:rFonts w:ascii="仿宋_GB2312" w:hAnsi="Times New Roman" w:eastAsia="仿宋_GB2312" w:cs="仿宋_GB2312"/>
          <w:sz w:val="32"/>
          <w:szCs w:val="32"/>
        </w:rPr>
        <w:t>661.35</w:t>
      </w:r>
      <w:r>
        <w:rPr>
          <w:rFonts w:hint="eastAsia" w:ascii="仿宋_GB2312" w:hAnsi="Times New Roman" w:eastAsia="仿宋_GB2312" w:cs="仿宋_GB2312"/>
          <w:sz w:val="32"/>
          <w:szCs w:val="32"/>
        </w:rPr>
        <w:t>万元，其中区级</w:t>
      </w:r>
      <w:r>
        <w:rPr>
          <w:rFonts w:ascii="仿宋_GB2312" w:hAnsi="Times New Roman" w:eastAsia="仿宋_GB2312" w:cs="仿宋_GB2312"/>
          <w:sz w:val="32"/>
          <w:szCs w:val="32"/>
        </w:rPr>
        <w:t>637.35</w:t>
      </w:r>
      <w:r>
        <w:rPr>
          <w:rFonts w:hint="eastAsia" w:ascii="仿宋_GB2312" w:hAnsi="Times New Roman" w:eastAsia="仿宋_GB2312" w:cs="仿宋_GB2312"/>
          <w:sz w:val="32"/>
          <w:szCs w:val="32"/>
        </w:rPr>
        <w:t>万元，市级安排</w:t>
      </w:r>
      <w:r>
        <w:rPr>
          <w:rFonts w:ascii="仿宋_GB2312" w:hAnsi="Times New Roman" w:eastAsia="仿宋_GB2312" w:cs="仿宋_GB2312"/>
          <w:sz w:val="32"/>
          <w:szCs w:val="32"/>
        </w:rPr>
        <w:t>24</w:t>
      </w:r>
      <w:r>
        <w:rPr>
          <w:rFonts w:hint="eastAsia" w:ascii="仿宋_GB2312" w:hAnsi="Times New Roman" w:eastAsia="仿宋_GB2312" w:cs="仿宋_GB2312"/>
          <w:sz w:val="32"/>
          <w:szCs w:val="32"/>
        </w:rPr>
        <w:t>万元，市级资金仅占</w:t>
      </w:r>
      <w:r>
        <w:rPr>
          <w:rFonts w:ascii="仿宋_GB2312" w:hAnsi="Times New Roman" w:eastAsia="仿宋_GB2312" w:cs="仿宋_GB2312"/>
          <w:sz w:val="32"/>
          <w:szCs w:val="32"/>
        </w:rPr>
        <w:t>3.6%</w:t>
      </w:r>
      <w:r>
        <w:rPr>
          <w:rFonts w:hint="eastAsia" w:ascii="仿宋_GB2312" w:hAnsi="Times New Roman" w:eastAsia="仿宋_GB2312" w:cs="仿宋_GB2312"/>
          <w:sz w:val="32"/>
          <w:szCs w:val="32"/>
        </w:rPr>
        <w:t>，对各区资金引导激励作用有限。在资金分配环节，按每区</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万元平均分配的方式进行，未充分考虑各区实际调处案件数量和调解成功率等因素，合理性有所欠缺。</w:t>
      </w:r>
    </w:p>
    <w:p w14:paraId="696EDDB4">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3.</w:t>
      </w:r>
      <w:r>
        <w:rPr>
          <w:rFonts w:hint="eastAsia" w:ascii="仿宋_GB2312" w:hAnsi="Times New Roman" w:eastAsia="仿宋_GB2312" w:cs="仿宋_GB2312"/>
          <w:b/>
          <w:bCs/>
          <w:sz w:val="32"/>
          <w:szCs w:val="32"/>
        </w:rPr>
        <w:t>专项资金使用效率偏低合规性偏弱</w:t>
      </w:r>
    </w:p>
    <w:p w14:paraId="5363825F">
      <w:pPr>
        <w:spacing w:line="560" w:lineRule="exact"/>
        <w:ind w:firstLine="643" w:firstLineChars="200"/>
        <w:rPr>
          <w:rFonts w:ascii="仿宋_GB2312" w:hAnsi="Times New Roman" w:eastAsia="仿宋_GB2312" w:cs="Times New Roman"/>
          <w:b/>
          <w:bCs/>
          <w:sz w:val="32"/>
          <w:szCs w:val="32"/>
        </w:rPr>
      </w:pPr>
      <w:r>
        <w:rPr>
          <w:rFonts w:hint="eastAsia" w:ascii="仿宋_GB2312" w:hAnsi="Times New Roman" w:eastAsia="仿宋_GB2312" w:cs="仿宋_GB2312"/>
          <w:b/>
          <w:bCs/>
          <w:sz w:val="32"/>
          <w:szCs w:val="32"/>
        </w:rPr>
        <w:t>一是市级资金使用率偏低。</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年市级社区矫正和人民调解补助资金预算共</w:t>
      </w:r>
      <w:r>
        <w:rPr>
          <w:rFonts w:ascii="仿宋_GB2312" w:hAnsi="Times New Roman" w:eastAsia="仿宋_GB2312" w:cs="仿宋_GB2312"/>
          <w:sz w:val="32"/>
          <w:szCs w:val="32"/>
        </w:rPr>
        <w:t>394</w:t>
      </w:r>
      <w:r>
        <w:rPr>
          <w:rFonts w:hint="eastAsia" w:ascii="仿宋_GB2312" w:hAnsi="Times New Roman" w:eastAsia="仿宋_GB2312" w:cs="仿宋_GB2312"/>
          <w:sz w:val="32"/>
          <w:szCs w:val="32"/>
        </w:rPr>
        <w:t>万元，实际使用</w:t>
      </w:r>
      <w:r>
        <w:rPr>
          <w:rFonts w:ascii="仿宋_GB2312" w:hAnsi="Times New Roman" w:eastAsia="仿宋_GB2312" w:cs="仿宋_GB2312"/>
          <w:sz w:val="32"/>
          <w:szCs w:val="32"/>
        </w:rPr>
        <w:t>194.27</w:t>
      </w:r>
      <w:r>
        <w:rPr>
          <w:rFonts w:hint="eastAsia" w:ascii="仿宋_GB2312" w:hAnsi="Times New Roman" w:eastAsia="仿宋_GB2312" w:cs="仿宋_GB2312"/>
          <w:sz w:val="32"/>
          <w:szCs w:val="32"/>
        </w:rPr>
        <w:t>万元，预算执行率为</w:t>
      </w:r>
      <w:r>
        <w:rPr>
          <w:rFonts w:ascii="仿宋_GB2312" w:hAnsi="Times New Roman" w:eastAsia="仿宋_GB2312" w:cs="仿宋_GB2312"/>
          <w:sz w:val="32"/>
          <w:szCs w:val="32"/>
        </w:rPr>
        <w:t>49.31%</w:t>
      </w:r>
      <w:r>
        <w:rPr>
          <w:rFonts w:hint="eastAsia" w:ascii="仿宋_GB2312" w:hAnsi="Times New Roman" w:eastAsia="仿宋_GB2312" w:cs="仿宋_GB2312"/>
          <w:sz w:val="32"/>
          <w:szCs w:val="32"/>
        </w:rPr>
        <w:t>，其中雨花台区和江宁区市级资金预算执行率仅为</w:t>
      </w:r>
      <w:r>
        <w:rPr>
          <w:rFonts w:ascii="仿宋_GB2312" w:hAnsi="Times New Roman" w:eastAsia="仿宋_GB2312" w:cs="仿宋_GB2312"/>
          <w:sz w:val="32"/>
          <w:szCs w:val="32"/>
        </w:rPr>
        <w:t>6.50%</w:t>
      </w:r>
      <w:r>
        <w:rPr>
          <w:rFonts w:hint="eastAsia" w:ascii="仿宋_GB2312" w:hAnsi="Times New Roman" w:eastAsia="仿宋_GB2312" w:cs="仿宋_GB2312"/>
          <w:sz w:val="32"/>
          <w:szCs w:val="32"/>
        </w:rPr>
        <w:t>和</w:t>
      </w:r>
      <w:r>
        <w:rPr>
          <w:rFonts w:ascii="仿宋_GB2312" w:hAnsi="Times New Roman" w:eastAsia="仿宋_GB2312" w:cs="仿宋_GB2312"/>
          <w:sz w:val="32"/>
          <w:szCs w:val="32"/>
        </w:rPr>
        <w:t>3.22%</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2026</w:t>
      </w:r>
      <w:r>
        <w:rPr>
          <w:rFonts w:hint="eastAsia" w:ascii="仿宋_GB2312" w:hAnsi="Times New Roman" w:eastAsia="仿宋_GB2312" w:cs="仿宋_GB2312"/>
          <w:sz w:val="32"/>
          <w:szCs w:val="32"/>
        </w:rPr>
        <w:t>年</w:t>
      </w:r>
      <w:r>
        <w:rPr>
          <w:rFonts w:ascii="仿宋_GB2312" w:hAnsi="Times New Roman" w:eastAsia="仿宋_GB2312" w:cs="仿宋_GB2312"/>
          <w:sz w:val="32"/>
          <w:szCs w:val="32"/>
        </w:rPr>
        <w:t>1</w:t>
      </w:r>
      <w:r>
        <w:rPr>
          <w:rFonts w:ascii="仿宋_GB2312" w:hAnsi="Times New Roman" w:eastAsia="仿宋_GB2312" w:cs="Times New Roman"/>
          <w:sz w:val="32"/>
          <w:szCs w:val="32"/>
        </w:rPr>
        <w:t>—</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月使用上年结转资金</w:t>
      </w:r>
      <w:r>
        <w:rPr>
          <w:rFonts w:ascii="仿宋_GB2312" w:hAnsi="Times New Roman" w:eastAsia="仿宋_GB2312" w:cs="仿宋_GB2312"/>
          <w:sz w:val="32"/>
          <w:szCs w:val="32"/>
        </w:rPr>
        <w:t>37.35</w:t>
      </w:r>
      <w:r>
        <w:rPr>
          <w:rFonts w:hint="eastAsia" w:ascii="仿宋_GB2312" w:hAnsi="Times New Roman" w:eastAsia="仿宋_GB2312" w:cs="仿宋_GB2312"/>
          <w:sz w:val="32"/>
          <w:szCs w:val="32"/>
        </w:rPr>
        <w:t>万元。截止</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月底，</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年市级资金仍有</w:t>
      </w:r>
      <w:r>
        <w:rPr>
          <w:rFonts w:ascii="仿宋_GB2312" w:hAnsi="Times New Roman" w:eastAsia="仿宋_GB2312" w:cs="仿宋_GB2312"/>
          <w:sz w:val="32"/>
          <w:szCs w:val="32"/>
        </w:rPr>
        <w:t>162.38</w:t>
      </w:r>
      <w:r>
        <w:rPr>
          <w:rFonts w:hint="eastAsia" w:ascii="仿宋_GB2312" w:hAnsi="Times New Roman" w:eastAsia="仿宋_GB2312" w:cs="仿宋_GB2312"/>
          <w:sz w:val="32"/>
          <w:szCs w:val="32"/>
        </w:rPr>
        <w:t>万元未使用，剩余较多的有江宁区（</w:t>
      </w:r>
      <w:r>
        <w:rPr>
          <w:rFonts w:ascii="仿宋_GB2312" w:hAnsi="Times New Roman" w:eastAsia="仿宋_GB2312" w:cs="仿宋_GB2312"/>
          <w:sz w:val="32"/>
          <w:szCs w:val="32"/>
        </w:rPr>
        <w:t>65.50</w:t>
      </w:r>
      <w:r>
        <w:rPr>
          <w:rFonts w:hint="eastAsia" w:ascii="仿宋_GB2312" w:hAnsi="Times New Roman" w:eastAsia="仿宋_GB2312" w:cs="仿宋_GB2312"/>
          <w:sz w:val="32"/>
          <w:szCs w:val="32"/>
        </w:rPr>
        <w:t>万元），江北新区（</w:t>
      </w:r>
      <w:r>
        <w:rPr>
          <w:rFonts w:ascii="仿宋_GB2312" w:hAnsi="Times New Roman" w:eastAsia="仿宋_GB2312" w:cs="仿宋_GB2312"/>
          <w:sz w:val="32"/>
          <w:szCs w:val="32"/>
        </w:rPr>
        <w:t>28.69</w:t>
      </w:r>
      <w:r>
        <w:rPr>
          <w:rFonts w:hint="eastAsia" w:ascii="仿宋_GB2312" w:hAnsi="Times New Roman" w:eastAsia="仿宋_GB2312" w:cs="仿宋_GB2312"/>
          <w:sz w:val="32"/>
          <w:szCs w:val="32"/>
        </w:rPr>
        <w:t>万元），雨花台区（</w:t>
      </w:r>
      <w:r>
        <w:rPr>
          <w:rFonts w:ascii="仿宋_GB2312" w:hAnsi="Times New Roman" w:eastAsia="仿宋_GB2312" w:cs="仿宋_GB2312"/>
          <w:sz w:val="32"/>
          <w:szCs w:val="32"/>
        </w:rPr>
        <w:t>23.77</w:t>
      </w:r>
      <w:r>
        <w:rPr>
          <w:rFonts w:hint="eastAsia" w:ascii="仿宋_GB2312" w:hAnsi="Times New Roman" w:eastAsia="仿宋_GB2312" w:cs="仿宋_GB2312"/>
          <w:sz w:val="32"/>
          <w:szCs w:val="32"/>
        </w:rPr>
        <w:t>万元），浦口区（</w:t>
      </w:r>
      <w:r>
        <w:rPr>
          <w:rFonts w:ascii="仿宋_GB2312" w:hAnsi="Times New Roman" w:eastAsia="仿宋_GB2312" w:cs="仿宋_GB2312"/>
          <w:sz w:val="32"/>
          <w:szCs w:val="32"/>
        </w:rPr>
        <w:t>21.57</w:t>
      </w:r>
      <w:r>
        <w:rPr>
          <w:rFonts w:hint="eastAsia" w:ascii="仿宋_GB2312" w:hAnsi="Times New Roman" w:eastAsia="仿宋_GB2312" w:cs="仿宋_GB2312"/>
          <w:sz w:val="32"/>
          <w:szCs w:val="32"/>
        </w:rPr>
        <w:t>万元）等。使用率偏低的主要原因：一是部分区优先使用上年结转资金，如雨花台区；二是部分区财政资金有保障，优先使用区级资金，如江宁区、浦口区；三是第二批市级社区矫正资金下达时间较晚（</w:t>
      </w:r>
      <w:r>
        <w:rPr>
          <w:rFonts w:ascii="仿宋_GB2312" w:hAnsi="Times New Roman" w:eastAsia="仿宋_GB2312" w:cs="仿宋_GB2312"/>
          <w:sz w:val="32"/>
          <w:szCs w:val="32"/>
        </w:rPr>
        <w:t>10</w:t>
      </w:r>
      <w:r>
        <w:rPr>
          <w:rFonts w:hint="eastAsia" w:ascii="仿宋_GB2312" w:hAnsi="Times New Roman" w:eastAsia="仿宋_GB2312" w:cs="仿宋_GB2312"/>
          <w:sz w:val="32"/>
          <w:szCs w:val="32"/>
        </w:rPr>
        <w:t>月</w:t>
      </w:r>
      <w:r>
        <w:rPr>
          <w:rFonts w:ascii="仿宋_GB2312" w:hAnsi="Times New Roman" w:eastAsia="仿宋_GB2312" w:cs="仿宋_GB2312"/>
          <w:sz w:val="32"/>
          <w:szCs w:val="32"/>
        </w:rPr>
        <w:t>30</w:t>
      </w:r>
      <w:r>
        <w:rPr>
          <w:rFonts w:hint="eastAsia" w:ascii="仿宋_GB2312" w:hAnsi="Times New Roman" w:eastAsia="仿宋_GB2312" w:cs="仿宋_GB2312"/>
          <w:sz w:val="32"/>
          <w:szCs w:val="32"/>
        </w:rPr>
        <w:t>日），待区司法局申报资金计划时，部分区财政已关账，只能结转下一年使用。</w:t>
      </w:r>
    </w:p>
    <w:p w14:paraId="47B87173">
      <w:pPr>
        <w:spacing w:line="560" w:lineRule="exact"/>
        <w:ind w:firstLine="643" w:firstLineChars="200"/>
        <w:rPr>
          <w:rFonts w:ascii="仿宋_GB2312" w:hAnsi="Times New Roman" w:eastAsia="仿宋_GB2312" w:cs="Times New Roman"/>
          <w:sz w:val="32"/>
          <w:szCs w:val="32"/>
        </w:rPr>
      </w:pPr>
      <w:r>
        <w:rPr>
          <w:rFonts w:hint="eastAsia" w:ascii="仿宋_GB2312" w:hAnsi="Times New Roman" w:eastAsia="仿宋_GB2312" w:cs="仿宋_GB2312"/>
          <w:b/>
          <w:bCs/>
          <w:sz w:val="32"/>
          <w:szCs w:val="32"/>
        </w:rPr>
        <w:t>二是资金使用合规性偏弱。</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年全市市级社区矫正资金有</w:t>
      </w:r>
      <w:r>
        <w:rPr>
          <w:rFonts w:ascii="仿宋_GB2312" w:hAnsi="Times New Roman" w:eastAsia="仿宋_GB2312" w:cs="仿宋_GB2312"/>
          <w:sz w:val="32"/>
          <w:szCs w:val="32"/>
        </w:rPr>
        <w:t>63.68%</w:t>
      </w:r>
      <w:r>
        <w:rPr>
          <w:rFonts w:hint="eastAsia" w:ascii="仿宋_GB2312" w:hAnsi="Times New Roman" w:eastAsia="仿宋_GB2312" w:cs="仿宋_GB2312"/>
          <w:sz w:val="32"/>
          <w:szCs w:val="32"/>
        </w:rPr>
        <w:t>用于支付社工工资，不符合《南京市市级社区矫正补助专项资金管理办法》中“用于社区矫正社会工作者的费用不得超过市社矫补助资金的</w:t>
      </w:r>
      <w:r>
        <w:rPr>
          <w:rFonts w:ascii="仿宋_GB2312" w:hAnsi="Times New Roman" w:eastAsia="仿宋_GB2312" w:cs="仿宋_GB2312"/>
          <w:sz w:val="32"/>
          <w:szCs w:val="32"/>
        </w:rPr>
        <w:t>50%</w:t>
      </w:r>
      <w:r>
        <w:rPr>
          <w:rFonts w:hint="eastAsia" w:ascii="仿宋_GB2312" w:hAnsi="Times New Roman" w:eastAsia="仿宋_GB2312" w:cs="仿宋_GB2312"/>
          <w:sz w:val="32"/>
          <w:szCs w:val="32"/>
        </w:rPr>
        <w:t>”的要求；部分社矫资金支出与资金使用范围不符，如建邺区将</w:t>
      </w:r>
      <w:r>
        <w:rPr>
          <w:rFonts w:ascii="仿宋_GB2312" w:hAnsi="Times New Roman" w:eastAsia="仿宋_GB2312" w:cs="仿宋_GB2312"/>
          <w:sz w:val="32"/>
          <w:szCs w:val="32"/>
        </w:rPr>
        <w:t>2.22</w:t>
      </w:r>
      <w:r>
        <w:rPr>
          <w:rFonts w:hint="eastAsia" w:ascii="仿宋_GB2312" w:hAnsi="Times New Roman" w:eastAsia="仿宋_GB2312" w:cs="仿宋_GB2312"/>
          <w:sz w:val="32"/>
          <w:szCs w:val="32"/>
        </w:rPr>
        <w:t>万元用于支付安置帮教人员工资，玄武区将</w:t>
      </w:r>
      <w:r>
        <w:rPr>
          <w:rFonts w:ascii="仿宋_GB2312" w:hAnsi="Times New Roman" w:eastAsia="仿宋_GB2312" w:cs="仿宋_GB2312"/>
          <w:sz w:val="32"/>
          <w:szCs w:val="32"/>
        </w:rPr>
        <w:t>17.6</w:t>
      </w:r>
      <w:r>
        <w:rPr>
          <w:rFonts w:hint="eastAsia" w:ascii="仿宋_GB2312" w:hAnsi="Times New Roman" w:eastAsia="仿宋_GB2312" w:cs="仿宋_GB2312"/>
          <w:sz w:val="32"/>
          <w:szCs w:val="32"/>
        </w:rPr>
        <w:t>万元用于社矫中心办公区装饰工程等；此外还存在个别区调剂使用资金和支付流程不规范等现象，如高淳区将</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万元公调对接资金中的</w:t>
      </w:r>
      <w:r>
        <w:rPr>
          <w:rFonts w:ascii="仿宋_GB2312" w:hAnsi="Times New Roman" w:eastAsia="仿宋_GB2312" w:cs="仿宋_GB2312"/>
          <w:sz w:val="32"/>
          <w:szCs w:val="32"/>
        </w:rPr>
        <w:t>0.31</w:t>
      </w:r>
      <w:r>
        <w:rPr>
          <w:rFonts w:hint="eastAsia" w:ascii="仿宋_GB2312" w:hAnsi="Times New Roman" w:eastAsia="仿宋_GB2312" w:cs="仿宋_GB2312"/>
          <w:sz w:val="32"/>
          <w:szCs w:val="32"/>
        </w:rPr>
        <w:t>万元用于医患纠纷调解项目补助；秦淮区和鼓楼区支付公调对接资金时，未将资金直接支付给调解员，而是先将资金支付给区公安局，再由区公安局支付给调解员，</w:t>
      </w:r>
    </w:p>
    <w:p w14:paraId="459E0641">
      <w:pPr>
        <w:spacing w:line="560" w:lineRule="exact"/>
        <w:ind w:firstLine="643" w:firstLineChars="200"/>
        <w:outlineLvl w:val="1"/>
        <w:rPr>
          <w:rFonts w:ascii="仿宋_GB2312" w:hAnsi="Times New Roman" w:eastAsia="仿宋_GB2312" w:cs="Times New Roman"/>
          <w:b/>
          <w:bCs/>
          <w:sz w:val="32"/>
          <w:szCs w:val="32"/>
        </w:rPr>
      </w:pPr>
      <w:bookmarkStart w:id="35" w:name="_Toc27534"/>
      <w:r>
        <w:rPr>
          <w:rFonts w:hint="eastAsia" w:ascii="仿宋_GB2312" w:hAnsi="Times New Roman" w:eastAsia="仿宋_GB2312" w:cs="仿宋_GB2312"/>
          <w:b/>
          <w:bCs/>
          <w:sz w:val="32"/>
          <w:szCs w:val="32"/>
        </w:rPr>
        <w:t>（四）社区矫正社工配置和社工待遇需完善</w:t>
      </w:r>
      <w:bookmarkEnd w:id="35"/>
    </w:p>
    <w:p w14:paraId="7867CCD8">
      <w:pPr>
        <w:spacing w:line="560" w:lineRule="exact"/>
        <w:ind w:firstLine="643" w:firstLineChars="200"/>
        <w:rPr>
          <w:rFonts w:ascii="仿宋_GB2312" w:hAnsi="Times New Roman" w:eastAsia="仿宋_GB2312" w:cs="Times New Roman"/>
          <w:sz w:val="32"/>
          <w:szCs w:val="32"/>
        </w:rPr>
      </w:pPr>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少数区矫正社工配备不到位。</w:t>
      </w:r>
      <w:r>
        <w:rPr>
          <w:rFonts w:hint="eastAsia" w:ascii="仿宋_GB2312" w:hAnsi="Times New Roman" w:eastAsia="仿宋_GB2312" w:cs="仿宋_GB2312"/>
          <w:sz w:val="32"/>
          <w:szCs w:val="32"/>
        </w:rPr>
        <w:t>根据江苏省《关于进一步加强社区矫正工作的意见》（苏办发〔</w:t>
      </w:r>
      <w:r>
        <w:rPr>
          <w:rFonts w:ascii="仿宋_GB2312" w:hAnsi="Times New Roman" w:eastAsia="仿宋_GB2312" w:cs="仿宋_GB2312"/>
          <w:sz w:val="32"/>
          <w:szCs w:val="32"/>
        </w:rPr>
        <w:t>2011</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53</w:t>
      </w:r>
      <w:r>
        <w:rPr>
          <w:rFonts w:hint="eastAsia" w:ascii="仿宋_GB2312" w:hAnsi="Times New Roman" w:eastAsia="仿宋_GB2312" w:cs="仿宋_GB2312"/>
          <w:sz w:val="32"/>
          <w:szCs w:val="32"/>
        </w:rPr>
        <w:t>号）要求，社区矫正专职社工应当按照在册社区矫正对象</w:t>
      </w:r>
      <w:r>
        <w:rPr>
          <w:rFonts w:ascii="仿宋_GB2312" w:hAnsi="Times New Roman" w:eastAsia="仿宋_GB2312" w:cs="仿宋_GB2312"/>
          <w:sz w:val="32"/>
          <w:szCs w:val="32"/>
        </w:rPr>
        <w:t>1:15</w:t>
      </w:r>
      <w:r>
        <w:rPr>
          <w:rFonts w:hint="eastAsia" w:ascii="仿宋_GB2312" w:hAnsi="Times New Roman" w:eastAsia="仿宋_GB2312" w:cs="仿宋_GB2312"/>
          <w:sz w:val="32"/>
          <w:szCs w:val="32"/>
        </w:rPr>
        <w:t>的标准配备，目前全市层面已基本达标，但还有</w:t>
      </w:r>
      <w:r>
        <w:rPr>
          <w:rFonts w:ascii="仿宋_GB2312" w:hAnsi="Times New Roman" w:eastAsia="仿宋_GB2312" w:cs="仿宋_GB2312"/>
          <w:sz w:val="32"/>
          <w:szCs w:val="32"/>
        </w:rPr>
        <w:t>3</w:t>
      </w:r>
      <w:r>
        <w:rPr>
          <w:rFonts w:hint="eastAsia" w:ascii="仿宋_GB2312" w:hAnsi="Times New Roman" w:eastAsia="仿宋_GB2312" w:cs="仿宋_GB2312"/>
          <w:sz w:val="32"/>
          <w:szCs w:val="32"/>
        </w:rPr>
        <w:t>个区未达标准，如江宁区</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25.54</w:t>
      </w:r>
      <w:r>
        <w:rPr>
          <w:rFonts w:hint="eastAsia" w:ascii="仿宋_GB2312" w:hAnsi="Times New Roman" w:eastAsia="仿宋_GB2312" w:cs="仿宋_GB2312"/>
          <w:sz w:val="32"/>
          <w:szCs w:val="32"/>
        </w:rPr>
        <w:t>、江北新区</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25.47</w:t>
      </w:r>
      <w:r>
        <w:rPr>
          <w:rFonts w:hint="eastAsia" w:ascii="仿宋_GB2312" w:hAnsi="Times New Roman" w:eastAsia="仿宋_GB2312" w:cs="仿宋_GB2312"/>
          <w:sz w:val="32"/>
          <w:szCs w:val="32"/>
        </w:rPr>
        <w:t>、雨花台区</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15.70</w:t>
      </w:r>
      <w:r>
        <w:rPr>
          <w:rFonts w:hint="eastAsia" w:ascii="仿宋_GB2312" w:hAnsi="Times New Roman" w:eastAsia="仿宋_GB2312" w:cs="仿宋_GB2312"/>
          <w:sz w:val="32"/>
          <w:szCs w:val="32"/>
        </w:rPr>
        <w:t>。主要原因是江宁区社矫对象较多，而司法工作人员总量有限，只能兼职承担社区矫正、安置帮教、法律服务等多项工作，据统计江宁区兼职社工达</w:t>
      </w:r>
      <w:r>
        <w:rPr>
          <w:rFonts w:ascii="仿宋_GB2312" w:hAnsi="Times New Roman" w:eastAsia="仿宋_GB2312" w:cs="仿宋_GB2312"/>
          <w:sz w:val="32"/>
          <w:szCs w:val="32"/>
        </w:rPr>
        <w:t>28</w:t>
      </w:r>
      <w:r>
        <w:rPr>
          <w:rFonts w:hint="eastAsia" w:ascii="仿宋_GB2312" w:hAnsi="Times New Roman" w:eastAsia="仿宋_GB2312" w:cs="仿宋_GB2312"/>
          <w:sz w:val="32"/>
          <w:szCs w:val="32"/>
        </w:rPr>
        <w:t>人；江北新区则是因为用人计划未审批通过，无法统一招聘社会工作者，造成社工有缺口。</w:t>
      </w:r>
    </w:p>
    <w:p w14:paraId="21F22FC4">
      <w:pPr>
        <w:spacing w:line="560" w:lineRule="exact"/>
        <w:ind w:firstLine="643" w:firstLineChars="200"/>
        <w:rPr>
          <w:rFonts w:ascii="仿宋_GB2312" w:hAnsi="Times New Roman" w:eastAsia="仿宋_GB2312" w:cs="Times New Roman"/>
          <w:sz w:val="32"/>
          <w:szCs w:val="32"/>
        </w:rPr>
      </w:pPr>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社矫社工对收入的满意度偏低。</w:t>
      </w:r>
      <w:r>
        <w:rPr>
          <w:rFonts w:hint="eastAsia" w:ascii="仿宋_GB2312" w:hAnsi="Times New Roman" w:eastAsia="仿宋_GB2312" w:cs="仿宋_GB2312"/>
          <w:sz w:val="32"/>
          <w:szCs w:val="32"/>
        </w:rPr>
        <w:t>满意度调查结果显示，社区矫正社工满意度仅为</w:t>
      </w:r>
      <w:r>
        <w:rPr>
          <w:rFonts w:ascii="仿宋_GB2312" w:hAnsi="Times New Roman" w:eastAsia="仿宋_GB2312" w:cs="仿宋_GB2312"/>
          <w:sz w:val="32"/>
          <w:szCs w:val="32"/>
        </w:rPr>
        <w:t>62.66%</w:t>
      </w:r>
      <w:r>
        <w:rPr>
          <w:rFonts w:hint="eastAsia" w:ascii="仿宋_GB2312" w:hAnsi="Times New Roman" w:eastAsia="仿宋_GB2312" w:cs="仿宋_GB2312"/>
          <w:sz w:val="32"/>
          <w:szCs w:val="32"/>
        </w:rPr>
        <w:t>，远低于目标值</w:t>
      </w:r>
      <w:r>
        <w:rPr>
          <w:rFonts w:ascii="仿宋_GB2312" w:hAnsi="Times New Roman" w:eastAsia="仿宋_GB2312" w:cs="仿宋_GB2312"/>
          <w:sz w:val="32"/>
          <w:szCs w:val="32"/>
        </w:rPr>
        <w:t>95%</w:t>
      </w:r>
      <w:r>
        <w:rPr>
          <w:rFonts w:hint="eastAsia" w:ascii="仿宋_GB2312" w:hAnsi="Times New Roman" w:eastAsia="仿宋_GB2312" w:cs="仿宋_GB2312"/>
          <w:sz w:val="32"/>
          <w:szCs w:val="32"/>
        </w:rPr>
        <w:t>。主要原因是社区矫正社工认为目前薪资待遇与承担的工作量、职业风险匹配度不高。经了解，全市有</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个区专职社矫社工年综合收入低于</w:t>
      </w:r>
      <w:r>
        <w:rPr>
          <w:rFonts w:ascii="仿宋_GB2312" w:hAnsi="Times New Roman" w:eastAsia="仿宋_GB2312" w:cs="仿宋_GB2312"/>
          <w:sz w:val="32"/>
          <w:szCs w:val="32"/>
        </w:rPr>
        <w:t>7</w:t>
      </w:r>
      <w:r>
        <w:rPr>
          <w:rFonts w:hint="eastAsia" w:ascii="仿宋_GB2312" w:hAnsi="Times New Roman" w:eastAsia="仿宋_GB2312" w:cs="仿宋_GB2312"/>
          <w:sz w:val="32"/>
          <w:szCs w:val="32"/>
        </w:rPr>
        <w:t>万，扣除五险一金后每月实际到手工资仅</w:t>
      </w:r>
      <w:r>
        <w:rPr>
          <w:rFonts w:ascii="仿宋_GB2312" w:hAnsi="Times New Roman" w:eastAsia="仿宋_GB2312" w:cs="仿宋_GB2312"/>
          <w:sz w:val="32"/>
          <w:szCs w:val="32"/>
        </w:rPr>
        <w:t>3000</w:t>
      </w:r>
      <w:r>
        <w:rPr>
          <w:rFonts w:hint="eastAsia" w:ascii="仿宋_GB2312" w:hAnsi="Times New Roman" w:eastAsia="仿宋_GB2312" w:cs="仿宋_GB2312"/>
          <w:sz w:val="32"/>
          <w:szCs w:val="32"/>
        </w:rPr>
        <w:t>元左右，其余区社工每月实际到手</w:t>
      </w:r>
      <w:r>
        <w:rPr>
          <w:rFonts w:ascii="仿宋_GB2312" w:hAnsi="Times New Roman" w:eastAsia="仿宋_GB2312" w:cs="仿宋_GB2312"/>
          <w:sz w:val="32"/>
          <w:szCs w:val="32"/>
        </w:rPr>
        <w:t>5000</w:t>
      </w:r>
      <w:r>
        <w:rPr>
          <w:rFonts w:hint="eastAsia" w:ascii="仿宋_GB2312" w:hAnsi="Times New Roman" w:eastAsia="仿宋_GB2312" w:cs="仿宋_GB2312"/>
          <w:sz w:val="32"/>
          <w:szCs w:val="32"/>
        </w:rPr>
        <w:t>左右，与其他部门社工相比综合收入偏低，且工作难度大、风险高，不利于吸引和留住人才，一定程度上影响了社工的工作积极性。</w:t>
      </w:r>
      <w:bookmarkStart w:id="36" w:name="_Toc11367"/>
    </w:p>
    <w:p w14:paraId="32F8C16E">
      <w:pPr>
        <w:spacing w:line="560" w:lineRule="exact"/>
        <w:ind w:firstLine="643" w:firstLineChars="200"/>
        <w:outlineLvl w:val="0"/>
        <w:rPr>
          <w:rFonts w:ascii="仿宋_GB2312" w:hAnsi="Times New Roman" w:eastAsia="仿宋_GB2312" w:cs="Times New Roman"/>
          <w:b/>
          <w:bCs/>
          <w:sz w:val="32"/>
          <w:szCs w:val="32"/>
        </w:rPr>
      </w:pPr>
      <w:bookmarkStart w:id="37" w:name="_Toc22715"/>
      <w:r>
        <w:rPr>
          <w:rFonts w:hint="eastAsia" w:ascii="仿宋_GB2312" w:hAnsi="Times New Roman" w:eastAsia="仿宋_GB2312" w:cs="仿宋_GB2312"/>
          <w:b/>
          <w:bCs/>
          <w:sz w:val="32"/>
          <w:szCs w:val="32"/>
        </w:rPr>
        <w:t>五、相关建议</w:t>
      </w:r>
      <w:bookmarkEnd w:id="37"/>
    </w:p>
    <w:p w14:paraId="41039733">
      <w:pPr>
        <w:spacing w:line="560" w:lineRule="exact"/>
        <w:ind w:firstLine="643" w:firstLineChars="200"/>
        <w:outlineLvl w:val="1"/>
        <w:rPr>
          <w:rFonts w:ascii="仿宋_GB2312" w:hAnsi="Times New Roman" w:eastAsia="仿宋_GB2312" w:cs="Times New Roman"/>
          <w:b/>
          <w:bCs/>
          <w:sz w:val="32"/>
          <w:szCs w:val="32"/>
        </w:rPr>
      </w:pPr>
      <w:bookmarkStart w:id="38" w:name="_Toc2359"/>
      <w:bookmarkStart w:id="39" w:name="_Toc170569609"/>
      <w:bookmarkStart w:id="40" w:name="_Toc153719759"/>
      <w:bookmarkStart w:id="41" w:name="_Toc169380865"/>
      <w:r>
        <w:rPr>
          <w:rFonts w:hint="eastAsia" w:ascii="仿宋_GB2312" w:hAnsi="Times New Roman" w:eastAsia="仿宋_GB2312" w:cs="仿宋_GB2312"/>
          <w:b/>
          <w:bCs/>
          <w:sz w:val="32"/>
          <w:szCs w:val="32"/>
        </w:rPr>
        <w:t>（一）规范资金安排使用，提升资金使用效能</w:t>
      </w:r>
      <w:bookmarkEnd w:id="38"/>
    </w:p>
    <w:p w14:paraId="317504B4">
      <w:pPr>
        <w:spacing w:line="560" w:lineRule="exact"/>
        <w:ind w:firstLine="643" w:firstLineChars="200"/>
        <w:rPr>
          <w:rFonts w:ascii="仿宋_GB2312" w:hAnsi="Times New Roman" w:eastAsia="仿宋_GB2312" w:cs="Times New Roman"/>
          <w:sz w:val="32"/>
          <w:szCs w:val="32"/>
        </w:rPr>
      </w:pPr>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．健全完善资金管理办法。</w:t>
      </w:r>
      <w:r>
        <w:rPr>
          <w:rFonts w:hint="eastAsia" w:ascii="仿宋_GB2312" w:hAnsi="Times New Roman" w:eastAsia="仿宋_GB2312" w:cs="仿宋_GB2312"/>
          <w:sz w:val="32"/>
          <w:szCs w:val="32"/>
        </w:rPr>
        <w:t>市司法局应会同财政部门尽快制定人民调解补助资金管理办法，并结合市级社矫资金管理办法即将到期的情况，将资金管理办法进一步整合归并，以适应新整合后的市级专项资金的管理需要。</w:t>
      </w:r>
    </w:p>
    <w:p w14:paraId="2518A354">
      <w:pPr>
        <w:spacing w:line="560" w:lineRule="exact"/>
        <w:ind w:firstLine="643" w:firstLineChars="200"/>
        <w:rPr>
          <w:rFonts w:ascii="仿宋_GB2312" w:hAnsi="Times New Roman" w:eastAsia="仿宋_GB2312" w:cs="Times New Roman"/>
          <w:sz w:val="32"/>
          <w:szCs w:val="32"/>
        </w:rPr>
      </w:pPr>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．优化资金分配方式并规范使用。</w:t>
      </w:r>
      <w:r>
        <w:rPr>
          <w:rFonts w:hint="eastAsia" w:ascii="仿宋_GB2312" w:hAnsi="Times New Roman" w:eastAsia="仿宋_GB2312" w:cs="仿宋_GB2312"/>
          <w:sz w:val="32"/>
          <w:szCs w:val="32"/>
        </w:rPr>
        <w:t>市司法局应结合实际工作需要，对整合后的专项资金做进一步优化调整，不再分别按照原项目资金进行一刀切式的压减，合理安排社区矫正和人民调解资金规模，以保障正常工作开展。在实际分配资金时，要综合考虑区级财政保障能力并结合各区上年资金结转情况。组织相关人员进行培训，明确补助资金的适用场景和禁止用途，避免因理解偏差造成合规性错误。</w:t>
      </w:r>
    </w:p>
    <w:p w14:paraId="75397F6B">
      <w:pPr>
        <w:spacing w:line="560" w:lineRule="exact"/>
        <w:ind w:firstLine="643" w:firstLineChars="200"/>
        <w:rPr>
          <w:rFonts w:ascii="仿宋_GB2312" w:hAnsi="Times New Roman" w:eastAsia="仿宋_GB2312" w:cs="Times New Roman"/>
          <w:sz w:val="32"/>
          <w:szCs w:val="32"/>
        </w:rPr>
      </w:pPr>
      <w:r>
        <w:rPr>
          <w:rFonts w:ascii="仿宋_GB2312" w:hAnsi="Times New Roman" w:eastAsia="仿宋_GB2312" w:cs="仿宋_GB2312"/>
          <w:b/>
          <w:bCs/>
          <w:sz w:val="32"/>
          <w:szCs w:val="32"/>
        </w:rPr>
        <w:t>3</w:t>
      </w:r>
      <w:r>
        <w:rPr>
          <w:rFonts w:hint="eastAsia" w:ascii="仿宋_GB2312" w:hAnsi="Times New Roman" w:eastAsia="仿宋_GB2312" w:cs="仿宋_GB2312"/>
          <w:b/>
          <w:bCs/>
          <w:sz w:val="32"/>
          <w:szCs w:val="32"/>
        </w:rPr>
        <w:t>．提高市级资金使用率。</w:t>
      </w:r>
      <w:r>
        <w:rPr>
          <w:rFonts w:hint="eastAsia" w:ascii="仿宋_GB2312" w:hAnsi="Times New Roman" w:eastAsia="仿宋_GB2312" w:cs="仿宋_GB2312"/>
          <w:sz w:val="32"/>
          <w:szCs w:val="32"/>
        </w:rPr>
        <w:t>一是市司法局要进一步提高绩效管理意识，加强对市级专项资金的绩效评价和绩效运行监控，及时掌握各区资金使用情况，督促加快支出进度，对于执行率低的区及时给予提醒。二是市司法局应加快资金分配进度，特别是第二批资金分配要及时，给各区司法局使用资金留足时间。三是要合理规划使用省、市、区资金，根据市级资金拨付时间，做好资金支付计划，保证市级财政资金充分使用。</w:t>
      </w:r>
    </w:p>
    <w:p w14:paraId="6469BBD3">
      <w:pPr>
        <w:spacing w:line="560" w:lineRule="exact"/>
        <w:ind w:firstLine="643" w:firstLineChars="200"/>
        <w:outlineLvl w:val="1"/>
        <w:rPr>
          <w:rFonts w:ascii="仿宋_GB2312" w:hAnsi="Times New Roman" w:eastAsia="仿宋_GB2312" w:cs="Times New Roman"/>
          <w:b/>
          <w:bCs/>
          <w:sz w:val="32"/>
          <w:szCs w:val="32"/>
        </w:rPr>
      </w:pPr>
      <w:bookmarkStart w:id="42" w:name="_Toc8107"/>
      <w:r>
        <w:rPr>
          <w:rFonts w:hint="eastAsia" w:ascii="仿宋_GB2312" w:hAnsi="Times New Roman" w:eastAsia="仿宋_GB2312" w:cs="仿宋_GB2312"/>
          <w:b/>
          <w:bCs/>
          <w:sz w:val="32"/>
          <w:szCs w:val="32"/>
        </w:rPr>
        <w:t>（二）统一智慧平台采购，提升智慧矫正水平</w:t>
      </w:r>
      <w:bookmarkEnd w:id="42"/>
    </w:p>
    <w:p w14:paraId="64C9A0BC">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“宁智矫”智慧监管平台于</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月在全市各区逐步推开使用，有效提升了监管效能。但由于使用初期由各区逐一跟平台供应商议价，导致购置成本和运维成本较高。建议市司法局采用集中带量采购的方式，进一步降低使用成本。</w:t>
      </w:r>
      <w:r>
        <w:rPr>
          <w:rFonts w:hint="eastAsia" w:ascii="仿宋_GB2312" w:hAnsi="Times New Roman" w:eastAsia="仿宋_GB2312" w:cs="仿宋_GB2312"/>
          <w:b/>
          <w:bCs/>
          <w:sz w:val="32"/>
          <w:szCs w:val="32"/>
        </w:rPr>
        <w:t>一是带量集中采购平台服务，</w:t>
      </w:r>
      <w:r>
        <w:rPr>
          <w:rFonts w:hint="eastAsia" w:ascii="仿宋_GB2312" w:hAnsi="Times New Roman" w:eastAsia="仿宋_GB2312" w:cs="仿宋_GB2312"/>
          <w:sz w:val="32"/>
          <w:szCs w:val="32"/>
        </w:rPr>
        <w:t>以全市规模化集采谈判方式压低人均使用成本。按人均</w:t>
      </w:r>
      <w:r>
        <w:rPr>
          <w:rFonts w:ascii="仿宋_GB2312" w:hAnsi="Times New Roman" w:eastAsia="仿宋_GB2312" w:cs="仿宋_GB2312"/>
          <w:sz w:val="32"/>
          <w:szCs w:val="32"/>
        </w:rPr>
        <w:t>50</w:t>
      </w:r>
      <w:r>
        <w:rPr>
          <w:rFonts w:hint="eastAsia" w:ascii="仿宋_GB2312" w:hAnsi="Times New Roman" w:eastAsia="仿宋_GB2312" w:cs="仿宋_GB2312"/>
          <w:sz w:val="32"/>
          <w:szCs w:val="32"/>
        </w:rPr>
        <w:t>元</w:t>
      </w:r>
      <w:r>
        <w:rPr>
          <w:rFonts w:ascii="仿宋_GB2312" w:hAnsi="Times New Roman" w:eastAsia="仿宋_GB2312" w:cs="仿宋_GB2312"/>
          <w:sz w:val="32"/>
          <w:szCs w:val="32"/>
        </w:rPr>
        <w:t>/</w:t>
      </w:r>
      <w:r>
        <w:rPr>
          <w:rFonts w:hint="eastAsia" w:ascii="仿宋_GB2312" w:hAnsi="Times New Roman" w:eastAsia="仿宋_GB2312" w:cs="仿宋_GB2312"/>
          <w:sz w:val="32"/>
          <w:szCs w:val="32"/>
        </w:rPr>
        <w:t>月测算，全市在矫对象如全部使用“宁智矫”平台，每年费用约为</w:t>
      </w:r>
      <w:r>
        <w:rPr>
          <w:rFonts w:ascii="仿宋_GB2312" w:hAnsi="Times New Roman" w:eastAsia="仿宋_GB2312" w:cs="仿宋_GB2312"/>
          <w:sz w:val="32"/>
          <w:szCs w:val="32"/>
        </w:rPr>
        <w:t>230</w:t>
      </w:r>
      <w:r>
        <w:rPr>
          <w:rFonts w:hint="eastAsia" w:ascii="仿宋_GB2312" w:hAnsi="Times New Roman" w:eastAsia="仿宋_GB2312" w:cs="仿宋_GB2312"/>
          <w:sz w:val="32"/>
          <w:szCs w:val="32"/>
        </w:rPr>
        <w:t>万元，若由市级统一采购，可提高议价能力，降低采购成本，减轻财政压力，</w:t>
      </w:r>
      <w:r>
        <w:rPr>
          <w:rFonts w:hint="eastAsia" w:ascii="仿宋_GB2312" w:hAnsi="Times New Roman" w:eastAsia="仿宋_GB2312" w:cs="仿宋_GB2312"/>
          <w:b/>
          <w:bCs/>
          <w:sz w:val="32"/>
          <w:szCs w:val="32"/>
        </w:rPr>
        <w:t>二是实施政府购买服务集约化运维，</w:t>
      </w:r>
      <w:r>
        <w:rPr>
          <w:rFonts w:hint="eastAsia" w:ascii="仿宋_GB2312" w:hAnsi="Times New Roman" w:eastAsia="仿宋_GB2312" w:cs="仿宋_GB2312"/>
          <w:sz w:val="32"/>
          <w:szCs w:val="32"/>
        </w:rPr>
        <w:t>从源头降低月度智慧化平台运维成本，实现全市统一运维管理，进一步减少各区单独对接、单独付费带来的额外成本。</w:t>
      </w:r>
      <w:r>
        <w:rPr>
          <w:rFonts w:hint="eastAsia" w:ascii="仿宋_GB2312" w:hAnsi="Times New Roman" w:eastAsia="仿宋_GB2312" w:cs="仿宋_GB2312"/>
          <w:b/>
          <w:bCs/>
          <w:sz w:val="32"/>
          <w:szCs w:val="32"/>
        </w:rPr>
        <w:t>三是积极向省里宣传推广，争取上级资金支持。</w:t>
      </w:r>
    </w:p>
    <w:p w14:paraId="354E49B7">
      <w:pPr>
        <w:spacing w:line="560" w:lineRule="exact"/>
        <w:ind w:firstLine="643" w:firstLineChars="200"/>
        <w:outlineLvl w:val="1"/>
        <w:rPr>
          <w:rFonts w:ascii="仿宋_GB2312" w:hAnsi="Times New Roman" w:eastAsia="仿宋_GB2312" w:cs="Times New Roman"/>
          <w:b/>
          <w:bCs/>
          <w:sz w:val="32"/>
          <w:szCs w:val="32"/>
        </w:rPr>
      </w:pPr>
      <w:bookmarkStart w:id="43" w:name="_Toc29899"/>
      <w:r>
        <w:rPr>
          <w:rFonts w:hint="eastAsia" w:ascii="仿宋_GB2312" w:hAnsi="Times New Roman" w:eastAsia="仿宋_GB2312" w:cs="仿宋_GB2312"/>
          <w:b/>
          <w:bCs/>
          <w:sz w:val="32"/>
          <w:szCs w:val="32"/>
        </w:rPr>
        <w:t>（三）严格规范业务流程，健全案件闭环管理</w:t>
      </w:r>
      <w:bookmarkEnd w:id="43"/>
    </w:p>
    <w:p w14:paraId="3C1BE5F3">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．严格落实回访工作制度。</w:t>
      </w:r>
      <w:r>
        <w:rPr>
          <w:rFonts w:hint="eastAsia" w:ascii="仿宋_GB2312" w:hAnsi="Times New Roman" w:eastAsia="仿宋_GB2312" w:cs="仿宋_GB2312"/>
          <w:sz w:val="32"/>
          <w:szCs w:val="32"/>
        </w:rPr>
        <w:t>一是建立标准化回访工作机制。落实“一案一档、办结必访”要求，明确调解完结案件必须纳入回访清单，杜绝选择性回访、漏访等问题。进一步强化时间约束。按照调解案件回访时限要求，细化岗位分工与责任清单，明确案件承办人、回访工作人员岗位职责。通过系统预警、工作台账提醒方式，倒逼工作人员按期完成回访工作。二是常态化开展业务培训与工作督导，确保每案必访，形成闭环。</w:t>
      </w:r>
    </w:p>
    <w:p w14:paraId="44E82DCA">
      <w:pPr>
        <w:spacing w:line="560" w:lineRule="exact"/>
        <w:ind w:firstLine="643" w:firstLineChars="200"/>
        <w:rPr>
          <w:rFonts w:ascii="仿宋_GB2312" w:hAnsi="Times New Roman" w:eastAsia="仿宋_GB2312" w:cs="Times New Roman"/>
          <w:b/>
          <w:bCs/>
          <w:sz w:val="32"/>
          <w:szCs w:val="32"/>
        </w:rPr>
      </w:pPr>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．强化案件卷宗归档和信息变更公示管理规范。</w:t>
      </w:r>
      <w:r>
        <w:rPr>
          <w:rFonts w:hint="eastAsia" w:ascii="仿宋_GB2312" w:hAnsi="Times New Roman" w:eastAsia="仿宋_GB2312" w:cs="仿宋_GB2312"/>
          <w:sz w:val="32"/>
          <w:szCs w:val="32"/>
        </w:rPr>
        <w:t>一是强化系统管理，将已经完成的调解案件，及时录入调解系统，并按文件要求归档，确保案件系统录入率及存档率达到</w:t>
      </w:r>
      <w:r>
        <w:rPr>
          <w:rFonts w:ascii="仿宋_GB2312" w:hAnsi="Times New Roman" w:eastAsia="仿宋_GB2312" w:cs="仿宋_GB2312"/>
          <w:sz w:val="32"/>
          <w:szCs w:val="32"/>
        </w:rPr>
        <w:t>100%</w:t>
      </w:r>
      <w:r>
        <w:rPr>
          <w:rFonts w:hint="eastAsia" w:ascii="仿宋_GB2312" w:hAnsi="Times New Roman" w:eastAsia="仿宋_GB2312" w:cs="仿宋_GB2312"/>
          <w:sz w:val="32"/>
          <w:szCs w:val="32"/>
        </w:rPr>
        <w:t>。二是定期抽查监督，提升工作精细化水平，建立归档前复核制度。三是明确信息更新的责任主体、时限要求及统一模板，同时推广电子显示屏、微信公众号等数字化公示手段，确保各类公示信息动态更新、准确规范。</w:t>
      </w:r>
    </w:p>
    <w:p w14:paraId="1360B817">
      <w:pPr>
        <w:spacing w:line="560" w:lineRule="exact"/>
        <w:ind w:firstLine="643" w:firstLineChars="200"/>
        <w:outlineLvl w:val="1"/>
        <w:rPr>
          <w:rFonts w:ascii="仿宋_GB2312" w:hAnsi="Times New Roman" w:eastAsia="仿宋_GB2312" w:cs="Times New Roman"/>
          <w:b/>
          <w:bCs/>
          <w:sz w:val="32"/>
          <w:szCs w:val="32"/>
        </w:rPr>
      </w:pPr>
      <w:bookmarkStart w:id="44" w:name="_Toc15204"/>
      <w:r>
        <w:rPr>
          <w:rFonts w:hint="eastAsia" w:ascii="仿宋_GB2312" w:hAnsi="Times New Roman" w:eastAsia="仿宋_GB2312" w:cs="仿宋_GB2312"/>
          <w:b/>
          <w:bCs/>
          <w:sz w:val="32"/>
          <w:szCs w:val="32"/>
        </w:rPr>
        <w:t>（四）优化完善待遇机制，强化队伍保障建设</w:t>
      </w:r>
      <w:bookmarkEnd w:id="44"/>
    </w:p>
    <w:p w14:paraId="2C7A34A7">
      <w:pPr>
        <w:spacing w:line="560" w:lineRule="exact"/>
        <w:ind w:firstLine="640" w:firstLineChars="200"/>
        <w:rPr>
          <w:rFonts w:ascii="仿宋_GB2312" w:hAnsi="Times New Roman" w:eastAsia="仿宋_GB2312" w:cs="Times New Roman"/>
          <w:b/>
          <w:bCs/>
          <w:sz w:val="32"/>
          <w:szCs w:val="32"/>
        </w:rPr>
      </w:pPr>
      <w:r>
        <w:rPr>
          <w:rFonts w:hint="eastAsia" w:ascii="仿宋_GB2312" w:hAnsi="Times New Roman" w:eastAsia="仿宋_GB2312" w:cs="仿宋_GB2312"/>
          <w:sz w:val="32"/>
          <w:szCs w:val="32"/>
        </w:rPr>
        <w:t>一是逐步落实社工配比标准，常态化督导人员配齐情况，通过公开招录等方式补足人员缺口，探索区域人员动态调剂机制，盘活现有队伍资源。二是进一步规范社区矫正社工薪酬体系。会同民政、人社等部门持续推动社区矫正社工纳入社区工作者体系和统一的“三岗十八级”薪酬制度，完善社工待遇，为社工履职提供必要的工作条件和安全保护，增强社工职业归属感。三是与社区矫正专职社工及时开展谈心谈话，深入了解社区矫正社工工作难点，对标对表，针对性解决问题，提高专职社工的工作积极性及满意度。</w:t>
      </w:r>
    </w:p>
    <w:bookmarkEnd w:id="39"/>
    <w:bookmarkEnd w:id="40"/>
    <w:bookmarkEnd w:id="41"/>
    <w:p w14:paraId="7F440EA3">
      <w:pPr>
        <w:pStyle w:val="27"/>
        <w:numPr>
          <w:ilvl w:val="0"/>
          <w:numId w:val="1"/>
        </w:numPr>
        <w:spacing w:line="560" w:lineRule="exact"/>
        <w:ind w:firstLineChars="0"/>
        <w:outlineLvl w:val="0"/>
        <w:rPr>
          <w:rFonts w:ascii="仿宋_GB2312" w:hAnsi="Times New Roman" w:eastAsia="仿宋_GB2312" w:cs="Times New Roman"/>
          <w:b/>
          <w:bCs/>
          <w:sz w:val="32"/>
          <w:szCs w:val="32"/>
        </w:rPr>
      </w:pPr>
      <w:bookmarkStart w:id="45" w:name="_Toc17850"/>
      <w:bookmarkStart w:id="46" w:name="_Toc165214310"/>
      <w:bookmarkStart w:id="47" w:name="_Toc10079"/>
      <w:r>
        <w:rPr>
          <w:rFonts w:hint="eastAsia" w:ascii="仿宋_GB2312" w:hAnsi="Times New Roman" w:eastAsia="仿宋_GB2312" w:cs="仿宋_GB2312"/>
          <w:b/>
          <w:bCs/>
          <w:sz w:val="32"/>
          <w:szCs w:val="32"/>
        </w:rPr>
        <w:t>评价工作开展情况及其他需说明的情况</w:t>
      </w:r>
      <w:bookmarkEnd w:id="45"/>
      <w:bookmarkEnd w:id="46"/>
      <w:bookmarkEnd w:id="47"/>
    </w:p>
    <w:p w14:paraId="2765C75F">
      <w:pPr>
        <w:spacing w:line="560" w:lineRule="exact"/>
        <w:ind w:firstLine="643" w:firstLineChars="200"/>
        <w:outlineLvl w:val="1"/>
        <w:rPr>
          <w:rFonts w:ascii="仿宋_GB2312" w:hAnsi="Times New Roman" w:eastAsia="仿宋_GB2312" w:cs="Times New Roman"/>
          <w:b/>
          <w:bCs/>
          <w:sz w:val="32"/>
          <w:szCs w:val="32"/>
        </w:rPr>
      </w:pPr>
      <w:bookmarkStart w:id="48" w:name="_Toc226146625"/>
      <w:bookmarkStart w:id="49" w:name="_Toc12043"/>
      <w:r>
        <w:rPr>
          <w:rFonts w:hint="eastAsia" w:ascii="仿宋_GB2312" w:hAnsi="Times New Roman" w:eastAsia="仿宋_GB2312" w:cs="仿宋_GB2312"/>
          <w:b/>
          <w:bCs/>
          <w:sz w:val="32"/>
          <w:szCs w:val="32"/>
        </w:rPr>
        <w:t>（一）政策评价思路</w:t>
      </w:r>
      <w:bookmarkEnd w:id="48"/>
      <w:r>
        <w:rPr>
          <w:rFonts w:hint="eastAsia" w:ascii="仿宋_GB2312" w:hAnsi="Times New Roman" w:eastAsia="仿宋_GB2312" w:cs="仿宋_GB2312"/>
          <w:b/>
          <w:bCs/>
          <w:sz w:val="32"/>
          <w:szCs w:val="32"/>
        </w:rPr>
        <w:t>及方法</w:t>
      </w:r>
      <w:bookmarkEnd w:id="49"/>
    </w:p>
    <w:p w14:paraId="2C5B0F23">
      <w:pPr>
        <w:spacing w:line="560" w:lineRule="exact"/>
        <w:ind w:firstLine="643" w:firstLineChars="200"/>
        <w:rPr>
          <w:rFonts w:ascii="仿宋_GB2312" w:hAnsi="Times New Roman" w:eastAsia="仿宋_GB2312" w:cs="Times New Roman"/>
          <w:b/>
          <w:bCs/>
          <w:sz w:val="32"/>
          <w:szCs w:val="32"/>
        </w:rPr>
      </w:pPr>
      <w:bookmarkStart w:id="50" w:name="_Toc226146626"/>
      <w:r>
        <w:rPr>
          <w:rFonts w:ascii="仿宋_GB2312" w:hAnsi="Times New Roman" w:eastAsia="仿宋_GB2312" w:cs="仿宋_GB2312"/>
          <w:b/>
          <w:bCs/>
          <w:sz w:val="32"/>
          <w:szCs w:val="32"/>
        </w:rPr>
        <w:t>1.</w:t>
      </w:r>
      <w:bookmarkEnd w:id="50"/>
      <w:bookmarkStart w:id="51" w:name="_Toc226146627"/>
      <w:r>
        <w:rPr>
          <w:rFonts w:hint="eastAsia" w:ascii="仿宋_GB2312" w:hAnsi="Times New Roman" w:eastAsia="仿宋_GB2312" w:cs="仿宋_GB2312"/>
          <w:b/>
          <w:bCs/>
          <w:sz w:val="32"/>
          <w:szCs w:val="32"/>
        </w:rPr>
        <w:t>评价目的</w:t>
      </w:r>
      <w:bookmarkEnd w:id="51"/>
    </w:p>
    <w:p w14:paraId="02BB60BA">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根据政策文件要求，基于政策背景、内容、资金使用、效益等核心要素，按照绩效评价规范要求，通过政策制定、政策实施、政策产出、政策效果四个维度开展全面评价，客观反映社区矫正和人民调解补助资金使用效果及政策实施成效。</w:t>
      </w:r>
    </w:p>
    <w:p w14:paraId="0CC8A78E">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color w:val="000000"/>
          <w:sz w:val="32"/>
          <w:szCs w:val="32"/>
        </w:rPr>
        <w:t>通过绩效评价全面梳理</w:t>
      </w:r>
      <w:r>
        <w:rPr>
          <w:rFonts w:hint="eastAsia" w:ascii="仿宋_GB2312" w:hAnsi="Times New Roman" w:eastAsia="仿宋_GB2312" w:cs="仿宋_GB2312"/>
          <w:sz w:val="32"/>
          <w:szCs w:val="32"/>
        </w:rPr>
        <w:t>社区矫正和人民调解补助资金使用</w:t>
      </w:r>
      <w:r>
        <w:rPr>
          <w:rFonts w:hint="eastAsia" w:ascii="仿宋_GB2312" w:hAnsi="Times New Roman" w:eastAsia="仿宋_GB2312" w:cs="仿宋_GB2312"/>
          <w:color w:val="000000"/>
          <w:sz w:val="32"/>
          <w:szCs w:val="32"/>
        </w:rPr>
        <w:t>过程中存在的问题与薄弱环节，提出针对性改进建议，</w:t>
      </w:r>
      <w:r>
        <w:rPr>
          <w:rFonts w:hint="eastAsia" w:ascii="仿宋_GB2312" w:hAnsi="Times New Roman" w:eastAsia="仿宋_GB2312" w:cs="仿宋_GB2312"/>
          <w:sz w:val="32"/>
          <w:szCs w:val="32"/>
        </w:rPr>
        <w:t>为下一年度财政资金预算安排以及后续政策优化提供参考。</w:t>
      </w:r>
    </w:p>
    <w:p w14:paraId="3847FF49">
      <w:pPr>
        <w:spacing w:line="560" w:lineRule="exact"/>
        <w:ind w:firstLine="643" w:firstLineChars="200"/>
        <w:rPr>
          <w:rFonts w:ascii="仿宋_GB2312" w:hAnsi="Times New Roman" w:eastAsia="仿宋_GB2312" w:cs="Times New Roman"/>
          <w:b/>
          <w:bCs/>
          <w:sz w:val="32"/>
          <w:szCs w:val="32"/>
        </w:rPr>
      </w:pPr>
      <w:bookmarkStart w:id="52" w:name="_Toc226146628"/>
      <w:bookmarkStart w:id="53" w:name="_Toc165214292"/>
      <w:bookmarkStart w:id="54" w:name="_Toc11891"/>
      <w:bookmarkStart w:id="55" w:name="_Toc71279128"/>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评价依据</w:t>
      </w:r>
      <w:bookmarkEnd w:id="52"/>
      <w:bookmarkEnd w:id="53"/>
    </w:p>
    <w:p w14:paraId="507460ED">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《中华人民共和国社区矫正法》</w:t>
      </w:r>
    </w:p>
    <w:p w14:paraId="115A22EA">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《中华人民共和国人民调解法》</w:t>
      </w:r>
    </w:p>
    <w:p w14:paraId="799885B2">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《中华人民共和国社区矫正法实施办法》（司发通〔</w:t>
      </w:r>
      <w:r>
        <w:rPr>
          <w:rFonts w:ascii="仿宋_GB2312" w:hAnsi="Times New Roman" w:eastAsia="仿宋_GB2312" w:cs="仿宋_GB2312"/>
          <w:sz w:val="32"/>
          <w:szCs w:val="32"/>
        </w:rPr>
        <w:t>2020</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59</w:t>
      </w:r>
      <w:r>
        <w:rPr>
          <w:rFonts w:hint="eastAsia" w:ascii="仿宋_GB2312" w:hAnsi="Times New Roman" w:eastAsia="仿宋_GB2312" w:cs="仿宋_GB2312"/>
          <w:sz w:val="32"/>
          <w:szCs w:val="32"/>
        </w:rPr>
        <w:t>号）</w:t>
      </w:r>
    </w:p>
    <w:p w14:paraId="13A89AC7">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《江苏省社区矫正工作实施细则》（苏司通〔</w:t>
      </w:r>
      <w:r>
        <w:rPr>
          <w:rFonts w:ascii="仿宋_GB2312" w:hAnsi="Times New Roman" w:eastAsia="仿宋_GB2312" w:cs="仿宋_GB2312"/>
          <w:sz w:val="32"/>
          <w:szCs w:val="32"/>
        </w:rPr>
        <w:t>2022</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23</w:t>
      </w:r>
      <w:r>
        <w:rPr>
          <w:rFonts w:hint="eastAsia" w:ascii="仿宋_GB2312" w:hAnsi="Times New Roman" w:eastAsia="仿宋_GB2312" w:cs="仿宋_GB2312"/>
          <w:sz w:val="32"/>
          <w:szCs w:val="32"/>
        </w:rPr>
        <w:t>号）</w:t>
      </w:r>
    </w:p>
    <w:p w14:paraId="01E88017">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《江苏省人民调解条例》</w:t>
      </w:r>
    </w:p>
    <w:p w14:paraId="7A188402">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《南京市市级社区矫正补助专项资金管理办法》（宁财规〔</w:t>
      </w:r>
      <w:r>
        <w:rPr>
          <w:rFonts w:ascii="仿宋_GB2312" w:hAnsi="Times New Roman" w:eastAsia="仿宋_GB2312" w:cs="仿宋_GB2312"/>
          <w:sz w:val="32"/>
          <w:szCs w:val="32"/>
        </w:rPr>
        <w:t>2022</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号）</w:t>
      </w:r>
    </w:p>
    <w:p w14:paraId="2C2AF726">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《关于加强人民调解员队伍建设的实施意见》（宁司〔</w:t>
      </w:r>
      <w:r>
        <w:rPr>
          <w:rFonts w:ascii="仿宋_GB2312" w:hAnsi="Times New Roman" w:eastAsia="仿宋_GB2312" w:cs="仿宋_GB2312"/>
          <w:sz w:val="32"/>
          <w:szCs w:val="32"/>
        </w:rPr>
        <w:t>2019</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140</w:t>
      </w:r>
      <w:r>
        <w:rPr>
          <w:rFonts w:hint="eastAsia" w:ascii="仿宋_GB2312" w:hAnsi="Times New Roman" w:eastAsia="仿宋_GB2312" w:cs="仿宋_GB2312"/>
          <w:sz w:val="32"/>
          <w:szCs w:val="32"/>
        </w:rPr>
        <w:t>号）</w:t>
      </w:r>
    </w:p>
    <w:p w14:paraId="79B82617">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《南京市医患纠纷调处服务工作暂行规定》（宁医调〔</w:t>
      </w:r>
      <w:r>
        <w:rPr>
          <w:rFonts w:ascii="仿宋_GB2312" w:hAnsi="Times New Roman" w:eastAsia="仿宋_GB2312" w:cs="仿宋_GB2312"/>
          <w:sz w:val="32"/>
          <w:szCs w:val="32"/>
        </w:rPr>
        <w:t>2020</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01</w:t>
      </w:r>
      <w:r>
        <w:rPr>
          <w:rFonts w:hint="eastAsia" w:ascii="仿宋_GB2312" w:hAnsi="Times New Roman" w:eastAsia="仿宋_GB2312" w:cs="仿宋_GB2312"/>
          <w:sz w:val="32"/>
          <w:szCs w:val="32"/>
        </w:rPr>
        <w:t>号）</w:t>
      </w:r>
    </w:p>
    <w:p w14:paraId="52B3CBF8">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《南京市医患纠纷专职人民调解员绩效考核管理办法》（宁司通〔</w:t>
      </w:r>
      <w:r>
        <w:rPr>
          <w:rFonts w:ascii="仿宋_GB2312" w:hAnsi="Times New Roman" w:eastAsia="仿宋_GB2312" w:cs="仿宋_GB2312"/>
          <w:sz w:val="32"/>
          <w:szCs w:val="32"/>
        </w:rPr>
        <w:t>2023</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32</w:t>
      </w:r>
      <w:r>
        <w:rPr>
          <w:rFonts w:hint="eastAsia" w:ascii="仿宋_GB2312" w:hAnsi="Times New Roman" w:eastAsia="仿宋_GB2312" w:cs="仿宋_GB2312"/>
          <w:sz w:val="32"/>
          <w:szCs w:val="32"/>
        </w:rPr>
        <w:t>号）</w:t>
      </w:r>
    </w:p>
    <w:p w14:paraId="730B3EE1">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《南京市公调对接专职人民调解员考核办法》（宁医调〔</w:t>
      </w:r>
      <w:r>
        <w:rPr>
          <w:rFonts w:ascii="仿宋_GB2312" w:hAnsi="Times New Roman" w:eastAsia="仿宋_GB2312" w:cs="仿宋_GB2312"/>
          <w:sz w:val="32"/>
          <w:szCs w:val="32"/>
        </w:rPr>
        <w:t>2024</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9</w:t>
      </w:r>
      <w:r>
        <w:rPr>
          <w:rFonts w:hint="eastAsia" w:ascii="仿宋_GB2312" w:hAnsi="Times New Roman" w:eastAsia="仿宋_GB2312" w:cs="仿宋_GB2312"/>
          <w:sz w:val="32"/>
          <w:szCs w:val="32"/>
        </w:rPr>
        <w:t>号）</w:t>
      </w:r>
    </w:p>
    <w:p w14:paraId="6C04A3DA">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《关于完善全市公调对接工作机制的实施意见》（宁司〔</w:t>
      </w:r>
      <w:r>
        <w:rPr>
          <w:rFonts w:ascii="仿宋_GB2312" w:hAnsi="Times New Roman" w:eastAsia="仿宋_GB2312" w:cs="仿宋_GB2312"/>
          <w:sz w:val="32"/>
          <w:szCs w:val="32"/>
        </w:rPr>
        <w:t>2024</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12</w:t>
      </w:r>
      <w:r>
        <w:rPr>
          <w:rFonts w:hint="eastAsia" w:ascii="仿宋_GB2312" w:hAnsi="Times New Roman" w:eastAsia="仿宋_GB2312" w:cs="仿宋_GB2312"/>
          <w:sz w:val="32"/>
          <w:szCs w:val="32"/>
        </w:rPr>
        <w:t>号）</w:t>
      </w:r>
    </w:p>
    <w:p w14:paraId="64FA96E8">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《南京市级财政预算绩效管理办法》（宁委办厅字〔</w:t>
      </w:r>
      <w:r>
        <w:rPr>
          <w:rFonts w:ascii="仿宋_GB2312" w:hAnsi="Times New Roman" w:eastAsia="仿宋_GB2312" w:cs="仿宋_GB2312"/>
          <w:sz w:val="32"/>
          <w:szCs w:val="32"/>
        </w:rPr>
        <w:t>2024</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号）</w:t>
      </w:r>
    </w:p>
    <w:p w14:paraId="2F8614B6">
      <w:pPr>
        <w:spacing w:line="560" w:lineRule="exact"/>
        <w:ind w:firstLine="486" w:firstLineChars="152"/>
        <w:rPr>
          <w:rFonts w:ascii="仿宋_GB2312" w:hAnsi="Times New Roman" w:eastAsia="仿宋_GB2312" w:cs="Times New Roman"/>
          <w:sz w:val="32"/>
          <w:szCs w:val="32"/>
        </w:rPr>
      </w:pPr>
      <w:r>
        <w:rPr>
          <w:rFonts w:hint="eastAsia" w:ascii="仿宋_GB2312" w:hAnsi="Times New Roman" w:eastAsia="仿宋_GB2312" w:cs="仿宋_GB2312"/>
          <w:sz w:val="32"/>
          <w:szCs w:val="32"/>
        </w:rPr>
        <w:t>《南京市市级财政预算绩效评价操作规程（试行）》（宁财绩〔</w:t>
      </w:r>
      <w:r>
        <w:rPr>
          <w:rFonts w:ascii="仿宋_GB2312" w:hAnsi="Times New Roman" w:eastAsia="仿宋_GB2312" w:cs="仿宋_GB2312"/>
          <w:sz w:val="32"/>
          <w:szCs w:val="32"/>
        </w:rPr>
        <w:t>2020</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260</w:t>
      </w:r>
      <w:r>
        <w:rPr>
          <w:rFonts w:hint="eastAsia" w:ascii="仿宋_GB2312" w:hAnsi="Times New Roman" w:eastAsia="仿宋_GB2312" w:cs="仿宋_GB2312"/>
          <w:sz w:val="32"/>
          <w:szCs w:val="32"/>
        </w:rPr>
        <w:t>号）</w:t>
      </w:r>
    </w:p>
    <w:bookmarkEnd w:id="54"/>
    <w:bookmarkEnd w:id="55"/>
    <w:p w14:paraId="26694047">
      <w:pPr>
        <w:spacing w:line="560" w:lineRule="exact"/>
        <w:ind w:firstLine="643" w:firstLineChars="200"/>
        <w:rPr>
          <w:rFonts w:ascii="仿宋_GB2312" w:hAnsi="Times New Roman" w:eastAsia="仿宋_GB2312" w:cs="Times New Roman"/>
          <w:b/>
          <w:bCs/>
          <w:color w:val="000000"/>
          <w:sz w:val="32"/>
          <w:szCs w:val="32"/>
        </w:rPr>
      </w:pPr>
      <w:bookmarkStart w:id="56" w:name="_Toc226146629"/>
      <w:r>
        <w:rPr>
          <w:rFonts w:ascii="仿宋_GB2312" w:hAnsi="Times New Roman" w:eastAsia="仿宋_GB2312" w:cs="仿宋_GB2312"/>
          <w:b/>
          <w:bCs/>
          <w:color w:val="000000"/>
          <w:sz w:val="32"/>
          <w:szCs w:val="32"/>
        </w:rPr>
        <w:t>3.</w:t>
      </w:r>
      <w:r>
        <w:rPr>
          <w:rFonts w:hint="eastAsia" w:ascii="仿宋_GB2312" w:hAnsi="Times New Roman" w:eastAsia="仿宋_GB2312" w:cs="仿宋_GB2312"/>
          <w:b/>
          <w:bCs/>
          <w:color w:val="000000"/>
          <w:sz w:val="32"/>
          <w:szCs w:val="32"/>
        </w:rPr>
        <w:t>重点关注内容</w:t>
      </w:r>
      <w:bookmarkEnd w:id="56"/>
    </w:p>
    <w:p w14:paraId="038F8700">
      <w:pPr>
        <w:spacing w:line="560" w:lineRule="exact"/>
        <w:ind w:firstLine="643"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b/>
          <w:bCs/>
          <w:color w:val="000000"/>
          <w:sz w:val="32"/>
          <w:szCs w:val="32"/>
        </w:rPr>
        <w:t>制度执行有效性评价。</w:t>
      </w:r>
      <w:r>
        <w:rPr>
          <w:rFonts w:hint="eastAsia" w:ascii="仿宋_GB2312" w:hAnsi="Times New Roman" w:eastAsia="仿宋_GB2312" w:cs="仿宋_GB2312"/>
          <w:color w:val="000000"/>
          <w:sz w:val="32"/>
          <w:szCs w:val="32"/>
        </w:rPr>
        <w:t>社区矫正与人民调解工作是否严格依规开展，在队伍建设、日常监管、信息化管理、跨部门协同等关键领域，制度执行是否规范到位、成效达标。</w:t>
      </w:r>
    </w:p>
    <w:p w14:paraId="6B58686E">
      <w:pPr>
        <w:spacing w:line="560" w:lineRule="exact"/>
        <w:ind w:firstLine="643"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b/>
          <w:bCs/>
          <w:color w:val="000000"/>
          <w:sz w:val="32"/>
          <w:szCs w:val="32"/>
        </w:rPr>
        <w:t>工作任务完成时效性评价。</w:t>
      </w:r>
      <w:r>
        <w:rPr>
          <w:rFonts w:hint="eastAsia" w:ascii="仿宋_GB2312" w:hAnsi="Times New Roman" w:eastAsia="仿宋_GB2312" w:cs="仿宋_GB2312"/>
          <w:color w:val="000000"/>
          <w:sz w:val="32"/>
          <w:szCs w:val="32"/>
        </w:rPr>
        <w:t>聚焦核心业务办理效率，社区矫正重点核查调查评估、入矫接收、矫正方案制定等节点推进及时性；人民调解重点考评医患纠纷受理、调处办结及回访落实时效。</w:t>
      </w:r>
    </w:p>
    <w:p w14:paraId="371569FA">
      <w:pPr>
        <w:spacing w:line="560" w:lineRule="exact"/>
        <w:ind w:firstLine="643"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b/>
          <w:bCs/>
          <w:color w:val="000000"/>
          <w:sz w:val="32"/>
          <w:szCs w:val="32"/>
        </w:rPr>
        <w:t>工作完成质量评价。</w:t>
      </w:r>
      <w:r>
        <w:rPr>
          <w:rFonts w:hint="eastAsia" w:ascii="仿宋_GB2312" w:hAnsi="Times New Roman" w:eastAsia="仿宋_GB2312" w:cs="仿宋_GB2312"/>
          <w:color w:val="000000"/>
          <w:sz w:val="32"/>
          <w:szCs w:val="32"/>
        </w:rPr>
        <w:t>以风险防控、矛盾化解为核心，评价一般矛盾纠纷升级、民转刑、越级上访等风险事件是否有效压降管控，工作质效是否符合标准。</w:t>
      </w:r>
    </w:p>
    <w:p w14:paraId="3520C2B6">
      <w:pPr>
        <w:spacing w:line="560" w:lineRule="exact"/>
        <w:ind w:firstLine="643" w:firstLineChars="200"/>
        <w:rPr>
          <w:rFonts w:ascii="仿宋_GB2312" w:hAnsi="Times New Roman" w:eastAsia="仿宋_GB2312" w:cs="Times New Roman"/>
          <w:color w:val="000000"/>
          <w:sz w:val="32"/>
          <w:szCs w:val="32"/>
        </w:rPr>
      </w:pPr>
      <w:r>
        <w:rPr>
          <w:rFonts w:hint="eastAsia" w:ascii="仿宋_GB2312" w:hAnsi="Times New Roman" w:eastAsia="仿宋_GB2312" w:cs="仿宋_GB2312"/>
          <w:b/>
          <w:bCs/>
          <w:color w:val="000000"/>
          <w:sz w:val="32"/>
          <w:szCs w:val="32"/>
        </w:rPr>
        <w:t>社会效益评价。</w:t>
      </w:r>
      <w:r>
        <w:rPr>
          <w:rFonts w:hint="eastAsia" w:ascii="仿宋_GB2312" w:hAnsi="Times New Roman" w:eastAsia="仿宋_GB2312" w:cs="仿宋_GB2312"/>
          <w:color w:val="000000"/>
          <w:sz w:val="32"/>
          <w:szCs w:val="32"/>
        </w:rPr>
        <w:t>社区矫正对象再犯罪率是否持续低位，矛盾纠纷调处成功率、教育帮扶活动满足率是否保持较高水平，社会治理效能是否充分彰显。</w:t>
      </w:r>
    </w:p>
    <w:p w14:paraId="52B28C61">
      <w:pPr>
        <w:spacing w:line="560" w:lineRule="exact"/>
        <w:ind w:firstLine="643" w:firstLineChars="200"/>
        <w:rPr>
          <w:rFonts w:ascii="仿宋_GB2312" w:hAnsi="Times New Roman" w:eastAsia="仿宋_GB2312" w:cs="Times New Roman"/>
          <w:b/>
          <w:bCs/>
          <w:sz w:val="32"/>
          <w:szCs w:val="32"/>
        </w:rPr>
      </w:pPr>
      <w:bookmarkStart w:id="57" w:name="_Toc226146630"/>
      <w:r>
        <w:rPr>
          <w:rFonts w:ascii="仿宋_GB2312" w:hAnsi="Times New Roman" w:eastAsia="仿宋_GB2312" w:cs="仿宋_GB2312"/>
          <w:b/>
          <w:bCs/>
          <w:sz w:val="32"/>
          <w:szCs w:val="32"/>
        </w:rPr>
        <w:t>4.</w:t>
      </w:r>
      <w:r>
        <w:rPr>
          <w:rFonts w:hint="eastAsia" w:ascii="仿宋_GB2312" w:hAnsi="Times New Roman" w:eastAsia="仿宋_GB2312" w:cs="仿宋_GB2312"/>
          <w:b/>
          <w:bCs/>
          <w:sz w:val="32"/>
          <w:szCs w:val="32"/>
        </w:rPr>
        <w:t>评价方法</w:t>
      </w:r>
      <w:bookmarkEnd w:id="57"/>
    </w:p>
    <w:p w14:paraId="1FC7D99A">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）目标评价法。将社区矫正和人民调解补助资金实际产出及效益与其绩效目标进行分析比较。</w:t>
      </w:r>
    </w:p>
    <w:p w14:paraId="2081575D">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）比较分析法。通过对绩效目标与实施效果、历史与当期情况进行比较，综合分析绩效目标实现程度。</w:t>
      </w:r>
    </w:p>
    <w:p w14:paraId="045B8606">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3</w:t>
      </w:r>
      <w:r>
        <w:rPr>
          <w:rFonts w:hint="eastAsia" w:ascii="仿宋_GB2312" w:hAnsi="Times New Roman" w:eastAsia="仿宋_GB2312" w:cs="仿宋_GB2312"/>
          <w:sz w:val="32"/>
          <w:szCs w:val="32"/>
        </w:rPr>
        <w:t>）因素分析法。通过综合分析影响绩效目标实现、实施效果的内外因素，评价绩效目标实现程度。</w:t>
      </w:r>
    </w:p>
    <w:p w14:paraId="11AEC9B5">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）公众评判法。通过公众问卷及抽样调查等方式进行评判目标完成情况及满意度。</w:t>
      </w:r>
    </w:p>
    <w:p w14:paraId="03F3CBB6">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）现场核查法。抽取全市</w:t>
      </w:r>
      <w:r>
        <w:rPr>
          <w:rFonts w:ascii="仿宋_GB2312" w:hAnsi="Times New Roman" w:eastAsia="仿宋_GB2312" w:cs="仿宋_GB2312"/>
          <w:sz w:val="32"/>
          <w:szCs w:val="32"/>
        </w:rPr>
        <w:t>12</w:t>
      </w:r>
      <w:r>
        <w:rPr>
          <w:rFonts w:hint="eastAsia" w:ascii="仿宋_GB2312" w:hAnsi="Times New Roman" w:eastAsia="仿宋_GB2312" w:cs="仿宋_GB2312"/>
          <w:sz w:val="32"/>
          <w:szCs w:val="32"/>
        </w:rPr>
        <w:t>个区、每区</w:t>
      </w:r>
      <w:r>
        <w:rPr>
          <w:rFonts w:ascii="仿宋_GB2312" w:hAnsi="Times New Roman" w:eastAsia="仿宋_GB2312" w:cs="仿宋_GB2312"/>
          <w:sz w:val="32"/>
          <w:szCs w:val="32"/>
        </w:rPr>
        <w:t>2-3</w:t>
      </w:r>
      <w:r>
        <w:rPr>
          <w:rFonts w:hint="eastAsia" w:ascii="仿宋_GB2312" w:hAnsi="Times New Roman" w:eastAsia="仿宋_GB2312" w:cs="仿宋_GB2312"/>
          <w:sz w:val="32"/>
          <w:szCs w:val="32"/>
        </w:rPr>
        <w:t>个点位（司法所、矫正中心、公调对接调解中心、医患调解工作站）进行现场核查。通过现场核查社区矫正和人民调解档案台账、业务资料和资金拨付凭证等，评价政策目标完成情况。</w:t>
      </w:r>
    </w:p>
    <w:p w14:paraId="19967CFF">
      <w:pPr>
        <w:spacing w:line="560" w:lineRule="exact"/>
        <w:ind w:firstLine="643" w:firstLineChars="200"/>
        <w:outlineLvl w:val="1"/>
        <w:rPr>
          <w:rFonts w:ascii="仿宋_GB2312" w:hAnsi="Times New Roman" w:eastAsia="仿宋_GB2312" w:cs="Times New Roman"/>
          <w:b/>
          <w:bCs/>
          <w:sz w:val="32"/>
          <w:szCs w:val="32"/>
        </w:rPr>
      </w:pPr>
      <w:bookmarkStart w:id="58" w:name="_Toc226146631"/>
      <w:bookmarkStart w:id="59" w:name="_Toc21597"/>
      <w:r>
        <w:rPr>
          <w:rFonts w:hint="eastAsia" w:ascii="仿宋_GB2312" w:hAnsi="Times New Roman" w:eastAsia="仿宋_GB2312" w:cs="仿宋_GB2312"/>
          <w:b/>
          <w:bCs/>
          <w:sz w:val="32"/>
          <w:szCs w:val="32"/>
        </w:rPr>
        <w:t>（二）绩效评价指标体系</w:t>
      </w:r>
      <w:bookmarkEnd w:id="58"/>
      <w:bookmarkEnd w:id="59"/>
    </w:p>
    <w:p w14:paraId="7444F71E">
      <w:pPr>
        <w:spacing w:line="560" w:lineRule="exact"/>
        <w:ind w:firstLine="640" w:firstLineChars="200"/>
        <w:jc w:val="left"/>
        <w:rPr>
          <w:rFonts w:ascii="仿宋_GB2312" w:hAnsi="Times New Roman" w:eastAsia="仿宋_GB2312" w:cs="Times New Roman"/>
          <w:sz w:val="32"/>
          <w:szCs w:val="32"/>
        </w:rPr>
      </w:pPr>
      <w:bookmarkStart w:id="60" w:name="_Toc14633_WPSOffice_Level2"/>
      <w:r>
        <w:rPr>
          <w:rFonts w:hint="eastAsia" w:ascii="仿宋_GB2312" w:hAnsi="Times New Roman" w:eastAsia="仿宋_GB2312" w:cs="仿宋_GB2312"/>
          <w:sz w:val="32"/>
          <w:szCs w:val="32"/>
        </w:rPr>
        <w:t>根据《南京市市级财政预算绩效评价操作规程（试行）》的通知（宁财绩〔</w:t>
      </w:r>
      <w:r>
        <w:rPr>
          <w:rFonts w:ascii="仿宋_GB2312" w:hAnsi="Times New Roman" w:eastAsia="仿宋_GB2312" w:cs="仿宋_GB2312"/>
          <w:sz w:val="32"/>
          <w:szCs w:val="32"/>
        </w:rPr>
        <w:t>2020</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260</w:t>
      </w:r>
      <w:r>
        <w:rPr>
          <w:rFonts w:hint="eastAsia" w:ascii="仿宋_GB2312" w:hAnsi="Times New Roman" w:eastAsia="仿宋_GB2312" w:cs="仿宋_GB2312"/>
          <w:sz w:val="32"/>
          <w:szCs w:val="32"/>
        </w:rPr>
        <w:t>号）及南京市财政局课题组《绩效评价操作指南》要求，本次评价指标体系的整体设计主要从以下两个方面进行考虑：</w:t>
      </w:r>
    </w:p>
    <w:p w14:paraId="3FB4DC25">
      <w:pPr>
        <w:spacing w:line="560" w:lineRule="exact"/>
        <w:ind w:firstLine="640" w:firstLineChars="200"/>
        <w:jc w:val="left"/>
        <w:rPr>
          <w:rFonts w:ascii="仿宋_GB2312" w:hAnsi="Times New Roman" w:eastAsia="仿宋_GB2312" w:cs="Times New Roman"/>
          <w:sz w:val="32"/>
          <w:szCs w:val="32"/>
        </w:rPr>
      </w:pPr>
      <w:r>
        <w:rPr>
          <w:rFonts w:ascii="仿宋_GB2312" w:hAnsi="Times New Roman" w:eastAsia="仿宋_GB2312" w:cs="仿宋_GB2312"/>
          <w:sz w:val="32"/>
          <w:szCs w:val="32"/>
        </w:rPr>
        <w:t>1</w:t>
      </w:r>
      <w:r>
        <w:rPr>
          <w:rFonts w:hint="eastAsia" w:ascii="仿宋_GB2312" w:hAnsi="Times New Roman" w:eastAsia="仿宋_GB2312" w:cs="仿宋_GB2312"/>
          <w:sz w:val="32"/>
          <w:szCs w:val="32"/>
        </w:rPr>
        <w:t>．在共性指标框架基础上突出政策特性，整体指标框架主要分为共性指标和个性指标，其中一级指标和二级指标参照共性框架指标内容，三级指标根据资金使用管理和政策特性进行具体设定。</w:t>
      </w:r>
    </w:p>
    <w:p w14:paraId="0DE27A8C">
      <w:pPr>
        <w:spacing w:line="560" w:lineRule="exact"/>
        <w:ind w:firstLine="640" w:firstLineChars="200"/>
        <w:jc w:val="left"/>
        <w:rPr>
          <w:rFonts w:ascii="仿宋_GB2312" w:hAnsi="Times New Roman" w:eastAsia="仿宋_GB2312" w:cs="Times New Roman"/>
          <w:sz w:val="32"/>
          <w:szCs w:val="32"/>
        </w:rPr>
      </w:pPr>
      <w:r>
        <w:rPr>
          <w:rFonts w:ascii="仿宋_GB2312" w:hAnsi="Times New Roman" w:eastAsia="仿宋_GB2312" w:cs="仿宋_GB2312"/>
          <w:sz w:val="32"/>
          <w:szCs w:val="32"/>
        </w:rPr>
        <w:t>2</w:t>
      </w:r>
      <w:r>
        <w:rPr>
          <w:rFonts w:hint="eastAsia" w:ascii="仿宋_GB2312" w:hAnsi="Times New Roman" w:eastAsia="仿宋_GB2312" w:cs="仿宋_GB2312"/>
          <w:sz w:val="32"/>
          <w:szCs w:val="32"/>
        </w:rPr>
        <w:t>．围绕政策特性寻找定性、定量指标进行评价，在设定指标时，产出指标围绕政策具体实施内容设置，产出指标尽量设定为体现政策实施的目的达成情况，如矫正对象信息化监管覆盖率、社区矫正对象应收尽收率、调处案件数量、调处案件成功率等。效益指标体现政策实施的间接效益，如越级上访案件数量、可持续影响、社区矫正专职社工满意度，无法量化的指标选择定性指标，确保绩效评价效果的全面性和完整性。</w:t>
      </w:r>
    </w:p>
    <w:bookmarkEnd w:id="60"/>
    <w:p w14:paraId="48D0F6C5">
      <w:pPr>
        <w:spacing w:line="56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仿宋_GB2312"/>
          <w:sz w:val="32"/>
          <w:szCs w:val="32"/>
        </w:rPr>
        <w:t>社区矫正和人民调解补助资金评价指标框架体系通过细化、量化的绩效指标，本着验证成效、发现问题的目的，力求实现评价的全面性、科学性、客观性和准确性。评价指标体系包括</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个一级指标，</w:t>
      </w:r>
      <w:r>
        <w:rPr>
          <w:rFonts w:ascii="仿宋_GB2312" w:hAnsi="Times New Roman" w:eastAsia="仿宋_GB2312" w:cs="仿宋_GB2312"/>
          <w:sz w:val="32"/>
          <w:szCs w:val="32"/>
        </w:rPr>
        <w:t>13</w:t>
      </w:r>
      <w:r>
        <w:rPr>
          <w:rFonts w:hint="eastAsia" w:ascii="仿宋_GB2312" w:hAnsi="Times New Roman" w:eastAsia="仿宋_GB2312" w:cs="仿宋_GB2312"/>
          <w:sz w:val="32"/>
          <w:szCs w:val="32"/>
        </w:rPr>
        <w:t>个二级指标、</w:t>
      </w:r>
      <w:r>
        <w:rPr>
          <w:rFonts w:ascii="仿宋_GB2312" w:hAnsi="Times New Roman" w:eastAsia="仿宋_GB2312" w:cs="仿宋_GB2312"/>
          <w:sz w:val="32"/>
          <w:szCs w:val="32"/>
        </w:rPr>
        <w:t>26</w:t>
      </w:r>
      <w:r>
        <w:rPr>
          <w:rFonts w:hint="eastAsia" w:ascii="仿宋_GB2312" w:hAnsi="Times New Roman" w:eastAsia="仿宋_GB2312" w:cs="仿宋_GB2312"/>
          <w:sz w:val="32"/>
          <w:szCs w:val="32"/>
        </w:rPr>
        <w:t>个三级指标（包括矫正对象信息化监管覆盖率、社区矫正对象应收尽收率、调处案件数量、调处案件成功率、越级上访案件数量、社区矫正对象再犯罪率等核心指标）。“政策设立”“政策实施”“政策产出”“政策效果”</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项一级指标分数所占权重比例为：</w:t>
      </w:r>
      <w:r>
        <w:rPr>
          <w:rFonts w:ascii="仿宋_GB2312" w:hAnsi="Times New Roman" w:eastAsia="仿宋_GB2312" w:cs="仿宋_GB2312"/>
          <w:sz w:val="32"/>
          <w:szCs w:val="32"/>
        </w:rPr>
        <w:t>13%</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20%</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41%</w:t>
      </w:r>
      <w:r>
        <w:rPr>
          <w:rFonts w:hint="eastAsia" w:ascii="仿宋_GB2312" w:hAnsi="Times New Roman" w:eastAsia="仿宋_GB2312" w:cs="仿宋_GB2312"/>
          <w:sz w:val="32"/>
          <w:szCs w:val="32"/>
        </w:rPr>
        <w:t>、</w:t>
      </w:r>
      <w:r>
        <w:rPr>
          <w:rFonts w:ascii="仿宋_GB2312" w:hAnsi="Times New Roman" w:eastAsia="仿宋_GB2312" w:cs="仿宋_GB2312"/>
          <w:sz w:val="32"/>
          <w:szCs w:val="32"/>
        </w:rPr>
        <w:t>26%</w:t>
      </w:r>
      <w:r>
        <w:rPr>
          <w:rFonts w:hint="eastAsia" w:ascii="仿宋_GB2312" w:hAnsi="Times New Roman" w:eastAsia="仿宋_GB2312" w:cs="仿宋_GB2312"/>
          <w:sz w:val="32"/>
          <w:szCs w:val="32"/>
        </w:rPr>
        <w:t>。</w:t>
      </w:r>
      <w:bookmarkStart w:id="61" w:name="_Toc22098"/>
    </w:p>
    <w:p w14:paraId="28EB616A">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绩效评价结果采取评分和评级相结合的方式，参照《南京市市级预算绩效评价管理规程》规定，采取综合打分的方法，评价结果实施百分制和四级分类，按分值，等次计入。分优、良、中、差四个等级。评分标准如下：</w:t>
      </w:r>
    </w:p>
    <w:p w14:paraId="413767E1">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优：</w:t>
      </w:r>
      <w:r>
        <w:rPr>
          <w:rFonts w:ascii="仿宋_GB2312" w:hAnsi="Times New Roman" w:eastAsia="仿宋_GB2312" w:cs="仿宋_GB2312"/>
          <w:sz w:val="32"/>
          <w:szCs w:val="32"/>
        </w:rPr>
        <w:t>90</w:t>
      </w:r>
      <w:r>
        <w:rPr>
          <w:rFonts w:hint="eastAsia" w:ascii="仿宋_GB2312" w:hAnsi="Times New Roman" w:eastAsia="仿宋_GB2312" w:cs="仿宋_GB2312"/>
          <w:sz w:val="32"/>
          <w:szCs w:val="32"/>
        </w:rPr>
        <w:t>（含）</w:t>
      </w:r>
      <w:r>
        <w:rPr>
          <w:rFonts w:ascii="仿宋_GB2312" w:hAnsi="Times New Roman" w:eastAsia="仿宋_GB2312" w:cs="仿宋_GB2312"/>
          <w:sz w:val="32"/>
          <w:szCs w:val="32"/>
        </w:rPr>
        <w:t>-100</w:t>
      </w:r>
      <w:r>
        <w:rPr>
          <w:rFonts w:hint="eastAsia" w:ascii="仿宋_GB2312" w:hAnsi="Times New Roman" w:eastAsia="仿宋_GB2312" w:cs="仿宋_GB2312"/>
          <w:sz w:val="32"/>
          <w:szCs w:val="32"/>
        </w:rPr>
        <w:t>分</w:t>
      </w:r>
    </w:p>
    <w:p w14:paraId="46512C58">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良：</w:t>
      </w:r>
      <w:r>
        <w:rPr>
          <w:rFonts w:ascii="仿宋_GB2312" w:hAnsi="Times New Roman" w:eastAsia="仿宋_GB2312" w:cs="仿宋_GB2312"/>
          <w:sz w:val="32"/>
          <w:szCs w:val="32"/>
        </w:rPr>
        <w:t>80</w:t>
      </w:r>
      <w:r>
        <w:rPr>
          <w:rFonts w:hint="eastAsia" w:ascii="仿宋_GB2312" w:hAnsi="Times New Roman" w:eastAsia="仿宋_GB2312" w:cs="仿宋_GB2312"/>
          <w:sz w:val="32"/>
          <w:szCs w:val="32"/>
        </w:rPr>
        <w:t>（含）</w:t>
      </w:r>
      <w:r>
        <w:rPr>
          <w:rFonts w:ascii="仿宋_GB2312" w:hAnsi="Times New Roman" w:eastAsia="仿宋_GB2312" w:cs="仿宋_GB2312"/>
          <w:sz w:val="32"/>
          <w:szCs w:val="32"/>
        </w:rPr>
        <w:t>-90</w:t>
      </w:r>
      <w:r>
        <w:rPr>
          <w:rFonts w:hint="eastAsia" w:ascii="仿宋_GB2312" w:hAnsi="Times New Roman" w:eastAsia="仿宋_GB2312" w:cs="仿宋_GB2312"/>
          <w:sz w:val="32"/>
          <w:szCs w:val="32"/>
        </w:rPr>
        <w:t>分</w:t>
      </w:r>
    </w:p>
    <w:p w14:paraId="132C1149">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中：</w:t>
      </w:r>
      <w:r>
        <w:rPr>
          <w:rFonts w:ascii="仿宋_GB2312" w:hAnsi="Times New Roman" w:eastAsia="仿宋_GB2312" w:cs="仿宋_GB2312"/>
          <w:sz w:val="32"/>
          <w:szCs w:val="32"/>
        </w:rPr>
        <w:t>60</w:t>
      </w:r>
      <w:r>
        <w:rPr>
          <w:rFonts w:hint="eastAsia" w:ascii="仿宋_GB2312" w:hAnsi="Times New Roman" w:eastAsia="仿宋_GB2312" w:cs="仿宋_GB2312"/>
          <w:sz w:val="32"/>
          <w:szCs w:val="32"/>
        </w:rPr>
        <w:t>（含）</w:t>
      </w:r>
      <w:r>
        <w:rPr>
          <w:rFonts w:ascii="仿宋_GB2312" w:hAnsi="Times New Roman" w:eastAsia="仿宋_GB2312" w:cs="仿宋_GB2312"/>
          <w:sz w:val="32"/>
          <w:szCs w:val="32"/>
        </w:rPr>
        <w:t>-80</w:t>
      </w:r>
      <w:r>
        <w:rPr>
          <w:rFonts w:hint="eastAsia" w:ascii="仿宋_GB2312" w:hAnsi="Times New Roman" w:eastAsia="仿宋_GB2312" w:cs="仿宋_GB2312"/>
          <w:sz w:val="32"/>
          <w:szCs w:val="32"/>
        </w:rPr>
        <w:t>分</w:t>
      </w:r>
    </w:p>
    <w:p w14:paraId="4A34A043">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仿宋_GB2312"/>
          <w:sz w:val="32"/>
          <w:szCs w:val="32"/>
        </w:rPr>
        <w:t>差：</w:t>
      </w:r>
      <w:r>
        <w:rPr>
          <w:rFonts w:ascii="仿宋_GB2312" w:hAnsi="Times New Roman" w:eastAsia="仿宋_GB2312" w:cs="仿宋_GB2312"/>
          <w:sz w:val="32"/>
          <w:szCs w:val="32"/>
        </w:rPr>
        <w:t>60</w:t>
      </w:r>
      <w:r>
        <w:rPr>
          <w:rFonts w:hint="eastAsia" w:ascii="仿宋_GB2312" w:hAnsi="Times New Roman" w:eastAsia="仿宋_GB2312" w:cs="仿宋_GB2312"/>
          <w:sz w:val="32"/>
          <w:szCs w:val="32"/>
        </w:rPr>
        <w:t>分以下</w:t>
      </w:r>
    </w:p>
    <w:bookmarkEnd w:id="61"/>
    <w:p w14:paraId="2A4EC45A">
      <w:pPr>
        <w:spacing w:line="560" w:lineRule="exact"/>
        <w:ind w:firstLine="643" w:firstLineChars="200"/>
        <w:outlineLvl w:val="1"/>
        <w:rPr>
          <w:rFonts w:ascii="仿宋_GB2312" w:hAnsi="Times New Roman" w:eastAsia="仿宋_GB2312" w:cs="Times New Roman"/>
          <w:b/>
          <w:bCs/>
          <w:sz w:val="32"/>
          <w:szCs w:val="32"/>
        </w:rPr>
      </w:pPr>
      <w:bookmarkStart w:id="62" w:name="_Toc226146639"/>
      <w:bookmarkStart w:id="63" w:name="_Toc4566"/>
      <w:r>
        <w:rPr>
          <w:rFonts w:hint="eastAsia" w:ascii="仿宋_GB2312" w:hAnsi="Times New Roman" w:eastAsia="仿宋_GB2312" w:cs="仿宋_GB2312"/>
          <w:b/>
          <w:bCs/>
          <w:sz w:val="32"/>
          <w:szCs w:val="32"/>
        </w:rPr>
        <w:t>（三）评价组织实施</w:t>
      </w:r>
      <w:bookmarkEnd w:id="62"/>
      <w:bookmarkEnd w:id="63"/>
    </w:p>
    <w:p w14:paraId="4B075FBD">
      <w:pPr>
        <w:spacing w:line="560" w:lineRule="exact"/>
        <w:ind w:firstLine="643" w:firstLineChars="200"/>
        <w:rPr>
          <w:rFonts w:ascii="仿宋_GB2312" w:hAnsi="Times New Roman" w:eastAsia="仿宋_GB2312" w:cs="Times New Roman"/>
          <w:b/>
          <w:bCs/>
          <w:sz w:val="32"/>
          <w:szCs w:val="32"/>
        </w:rPr>
      </w:pPr>
      <w:bookmarkStart w:id="64" w:name="_Toc165214311"/>
      <w:bookmarkStart w:id="65" w:name="_Toc15332"/>
      <w:bookmarkStart w:id="66" w:name="_Toc1901"/>
      <w:bookmarkStart w:id="67" w:name="_Toc226146640"/>
      <w:bookmarkStart w:id="68" w:name="_Toc31536"/>
      <w:r>
        <w:rPr>
          <w:rFonts w:ascii="仿宋_GB2312" w:hAnsi="Times New Roman" w:eastAsia="仿宋_GB2312" w:cs="仿宋_GB2312"/>
          <w:b/>
          <w:bCs/>
          <w:sz w:val="32"/>
          <w:szCs w:val="32"/>
        </w:rPr>
        <w:t>1.</w:t>
      </w:r>
      <w:r>
        <w:rPr>
          <w:rFonts w:hint="eastAsia" w:ascii="仿宋_GB2312" w:hAnsi="Times New Roman" w:eastAsia="仿宋_GB2312" w:cs="仿宋_GB2312"/>
          <w:b/>
          <w:bCs/>
          <w:sz w:val="32"/>
          <w:szCs w:val="32"/>
        </w:rPr>
        <w:t>人员分工</w:t>
      </w:r>
      <w:bookmarkEnd w:id="64"/>
      <w:bookmarkEnd w:id="65"/>
      <w:bookmarkEnd w:id="66"/>
      <w:bookmarkEnd w:id="67"/>
      <w:bookmarkEnd w:id="68"/>
    </w:p>
    <w:p w14:paraId="1C69DAA3">
      <w:pPr>
        <w:spacing w:line="560" w:lineRule="exact"/>
        <w:ind w:firstLine="640" w:firstLineChars="200"/>
        <w:rPr>
          <w:rFonts w:hint="default" w:ascii="仿宋_GB2312" w:hAnsi="Times New Roman" w:eastAsia="仿宋_GB2312" w:cs="仿宋_GB2312"/>
          <w:sz w:val="32"/>
          <w:szCs w:val="32"/>
          <w:lang w:val="en-US" w:eastAsia="zh-CN"/>
        </w:rPr>
      </w:pPr>
      <w:bookmarkStart w:id="69" w:name="_Toc27932"/>
      <w:bookmarkStart w:id="70" w:name="_Toc7570"/>
      <w:r>
        <w:rPr>
          <w:rFonts w:hint="eastAsia" w:ascii="仿宋_GB2312" w:hAnsi="Times New Roman" w:eastAsia="仿宋_GB2312" w:cs="仿宋_GB2312"/>
          <w:sz w:val="32"/>
          <w:szCs w:val="32"/>
        </w:rPr>
        <w:t>本次社区矫正和人民调解补助资金重点绩效评价</w:t>
      </w:r>
      <w:bookmarkEnd w:id="69"/>
      <w:bookmarkEnd w:id="70"/>
      <w:bookmarkStart w:id="71" w:name="_Hlk105105442"/>
      <w:r>
        <w:rPr>
          <w:rFonts w:hint="eastAsia" w:ascii="仿宋_GB2312" w:hAnsi="Times New Roman" w:eastAsia="仿宋_GB2312" w:cs="仿宋_GB2312"/>
          <w:sz w:val="32"/>
          <w:szCs w:val="32"/>
          <w:lang w:val="en-US" w:eastAsia="zh-CN"/>
        </w:rPr>
        <w:t>由装备财务保障处、人民参与和促进法治处、社区矫正管理局部分人员组成，人民参与和促进法治处、社区矫正管理局按照业务进行业务工作梳理，主要负责社区矫正和人民调解补助资金业务资料收集、政策梳理政策资金核查、预算执行、绩效评价的资料与台账管理，装备财务保障处主要负责绩效评价资金与财务方面、绩效评价数据与统计工作</w:t>
      </w:r>
      <w:r>
        <w:rPr>
          <w:rFonts w:hint="eastAsia" w:ascii="仿宋_GB2312" w:hAnsi="Times New Roman" w:eastAsia="仿宋_GB2312" w:cs="仿宋_GB2312"/>
          <w:sz w:val="32"/>
          <w:szCs w:val="32"/>
          <w:lang w:val="en-US" w:eastAsia="zh-CN"/>
        </w:rPr>
        <w:t>。</w:t>
      </w:r>
    </w:p>
    <w:bookmarkEnd w:id="71"/>
    <w:p w14:paraId="2E9F0D79">
      <w:pPr>
        <w:ind w:firstLine="643" w:firstLineChars="200"/>
        <w:rPr>
          <w:rFonts w:ascii="仿宋_GB2312" w:hAnsi="Times New Roman" w:eastAsia="仿宋_GB2312" w:cs="Times New Roman"/>
          <w:b/>
          <w:bCs/>
          <w:sz w:val="32"/>
          <w:szCs w:val="32"/>
        </w:rPr>
      </w:pPr>
      <w:bookmarkStart w:id="72" w:name="_Toc1206"/>
      <w:bookmarkStart w:id="73" w:name="_Toc6374"/>
      <w:bookmarkStart w:id="74" w:name="_Toc16998"/>
      <w:bookmarkStart w:id="75" w:name="_Toc165214312"/>
      <w:bookmarkStart w:id="76" w:name="_Toc226146641"/>
      <w:r>
        <w:rPr>
          <w:rFonts w:ascii="仿宋_GB2312" w:hAnsi="Times New Roman" w:eastAsia="仿宋_GB2312" w:cs="仿宋_GB2312"/>
          <w:b/>
          <w:bCs/>
          <w:sz w:val="32"/>
          <w:szCs w:val="32"/>
        </w:rPr>
        <w:t>2.</w:t>
      </w:r>
      <w:r>
        <w:rPr>
          <w:rFonts w:hint="eastAsia" w:ascii="仿宋_GB2312" w:hAnsi="Times New Roman" w:eastAsia="仿宋_GB2312" w:cs="仿宋_GB2312"/>
          <w:b/>
          <w:bCs/>
          <w:sz w:val="32"/>
          <w:szCs w:val="32"/>
        </w:rPr>
        <w:t>评价时间及工作步骤</w:t>
      </w:r>
      <w:bookmarkEnd w:id="72"/>
      <w:bookmarkEnd w:id="73"/>
      <w:bookmarkEnd w:id="74"/>
      <w:bookmarkEnd w:id="75"/>
      <w:bookmarkEnd w:id="76"/>
    </w:p>
    <w:p w14:paraId="23BEFE6C">
      <w:pPr>
        <w:ind w:firstLine="640" w:firstLineChars="200"/>
        <w:rPr>
          <w:rFonts w:ascii="仿宋_GB2312" w:hAnsi="Times New Roman" w:eastAsia="仿宋_GB2312" w:cs="Times New Roman"/>
          <w:sz w:val="32"/>
          <w:szCs w:val="32"/>
        </w:rPr>
      </w:pPr>
    </w:p>
    <w:tbl>
      <w:tblPr>
        <w:tblStyle w:val="14"/>
        <w:tblW w:w="953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62"/>
        <w:gridCol w:w="2385"/>
        <w:gridCol w:w="5392"/>
      </w:tblGrid>
      <w:tr w14:paraId="39F9A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trPr>
        <w:tc>
          <w:tcPr>
            <w:tcW w:w="1762" w:type="dxa"/>
            <w:shd w:val="clear" w:color="auto" w:fill="FFFFFF"/>
            <w:noWrap/>
            <w:vAlign w:val="center"/>
          </w:tcPr>
          <w:p w14:paraId="21698290">
            <w:pPr>
              <w:widowControl/>
              <w:jc w:val="center"/>
              <w:rPr>
                <w:rFonts w:ascii="仿宋_GB2312" w:hAnsi="仿宋" w:eastAsia="仿宋_GB2312" w:cs="Times New Roman"/>
                <w:b/>
                <w:bCs/>
                <w:sz w:val="28"/>
                <w:szCs w:val="28"/>
              </w:rPr>
            </w:pPr>
            <w:r>
              <w:rPr>
                <w:rFonts w:hint="eastAsia" w:ascii="仿宋_GB2312" w:hAnsi="仿宋" w:eastAsia="仿宋_GB2312" w:cs="仿宋_GB2312"/>
                <w:b/>
                <w:bCs/>
                <w:sz w:val="28"/>
                <w:szCs w:val="28"/>
              </w:rPr>
              <w:t>工作阶段</w:t>
            </w:r>
          </w:p>
        </w:tc>
        <w:tc>
          <w:tcPr>
            <w:tcW w:w="2385" w:type="dxa"/>
            <w:shd w:val="clear" w:color="auto" w:fill="FFFFFF"/>
            <w:noWrap/>
            <w:vAlign w:val="center"/>
          </w:tcPr>
          <w:p w14:paraId="5EF1C275">
            <w:pPr>
              <w:widowControl/>
              <w:jc w:val="center"/>
              <w:rPr>
                <w:rFonts w:ascii="仿宋_GB2312" w:hAnsi="仿宋" w:eastAsia="仿宋_GB2312" w:cs="Times New Roman"/>
                <w:b/>
                <w:bCs/>
                <w:sz w:val="28"/>
                <w:szCs w:val="28"/>
              </w:rPr>
            </w:pPr>
            <w:r>
              <w:rPr>
                <w:rFonts w:hint="eastAsia" w:ascii="仿宋_GB2312" w:hAnsi="仿宋" w:eastAsia="仿宋_GB2312" w:cs="仿宋_GB2312"/>
                <w:b/>
                <w:bCs/>
                <w:sz w:val="28"/>
                <w:szCs w:val="28"/>
              </w:rPr>
              <w:t>时间安排</w:t>
            </w:r>
          </w:p>
        </w:tc>
        <w:tc>
          <w:tcPr>
            <w:tcW w:w="5392" w:type="dxa"/>
            <w:shd w:val="clear" w:color="auto" w:fill="FFFFFF"/>
            <w:noWrap/>
            <w:vAlign w:val="center"/>
          </w:tcPr>
          <w:p w14:paraId="1D9651B6">
            <w:pPr>
              <w:widowControl/>
              <w:jc w:val="center"/>
              <w:rPr>
                <w:rFonts w:ascii="仿宋_GB2312" w:hAnsi="仿宋" w:eastAsia="仿宋_GB2312" w:cs="Times New Roman"/>
                <w:b/>
                <w:bCs/>
                <w:sz w:val="28"/>
                <w:szCs w:val="28"/>
              </w:rPr>
            </w:pPr>
            <w:r>
              <w:rPr>
                <w:rFonts w:hint="eastAsia" w:ascii="仿宋_GB2312" w:hAnsi="仿宋" w:eastAsia="仿宋_GB2312" w:cs="仿宋_GB2312"/>
                <w:b/>
                <w:bCs/>
                <w:sz w:val="28"/>
                <w:szCs w:val="28"/>
              </w:rPr>
              <w:t>具体工作内容</w:t>
            </w:r>
          </w:p>
        </w:tc>
      </w:tr>
      <w:tr w14:paraId="55AAE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6" w:hRule="atLeast"/>
        </w:trPr>
        <w:tc>
          <w:tcPr>
            <w:tcW w:w="1762" w:type="dxa"/>
            <w:noWrap/>
            <w:vAlign w:val="center"/>
          </w:tcPr>
          <w:p w14:paraId="04AD9074">
            <w:pPr>
              <w:jc w:val="left"/>
              <w:rPr>
                <w:rFonts w:ascii="仿宋_GB2312" w:hAnsi="Times New Roman" w:eastAsia="仿宋_GB2312" w:cs="Times New Roman"/>
                <w:color w:val="000000"/>
                <w:sz w:val="24"/>
                <w:szCs w:val="24"/>
              </w:rPr>
            </w:pPr>
            <w:r>
              <w:rPr>
                <w:rFonts w:hint="eastAsia" w:ascii="仿宋_GB2312" w:hAnsi="Times New Roman" w:eastAsia="仿宋_GB2312" w:cs="仿宋_GB2312"/>
                <w:color w:val="000000"/>
                <w:sz w:val="24"/>
                <w:szCs w:val="24"/>
              </w:rPr>
              <w:t>前期准备阶段</w:t>
            </w:r>
          </w:p>
        </w:tc>
        <w:tc>
          <w:tcPr>
            <w:tcW w:w="2385" w:type="dxa"/>
            <w:noWrap/>
            <w:vAlign w:val="center"/>
          </w:tcPr>
          <w:p w14:paraId="23B5AE76">
            <w:pPr>
              <w:jc w:val="center"/>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3</w:t>
            </w:r>
            <w:r>
              <w:rPr>
                <w:rFonts w:hint="eastAsia" w:ascii="仿宋_GB2312" w:hAnsi="Times New Roman" w:eastAsia="仿宋_GB2312" w:cs="仿宋_GB2312"/>
                <w:color w:val="000000"/>
                <w:sz w:val="24"/>
                <w:szCs w:val="24"/>
              </w:rPr>
              <w:t>月</w:t>
            </w:r>
            <w:r>
              <w:rPr>
                <w:rFonts w:ascii="仿宋_GB2312" w:hAnsi="Times New Roman" w:eastAsia="仿宋_GB2312" w:cs="仿宋_GB2312"/>
                <w:color w:val="000000"/>
                <w:sz w:val="24"/>
                <w:szCs w:val="24"/>
              </w:rPr>
              <w:t>20</w:t>
            </w:r>
            <w:r>
              <w:rPr>
                <w:rFonts w:hint="eastAsia" w:ascii="仿宋_GB2312" w:hAnsi="Times New Roman" w:eastAsia="仿宋_GB2312" w:cs="仿宋_GB2312"/>
                <w:color w:val="000000"/>
                <w:sz w:val="24"/>
                <w:szCs w:val="24"/>
              </w:rPr>
              <w:t>日前</w:t>
            </w:r>
          </w:p>
        </w:tc>
        <w:tc>
          <w:tcPr>
            <w:tcW w:w="5392" w:type="dxa"/>
            <w:vAlign w:val="center"/>
          </w:tcPr>
          <w:p w14:paraId="57BF52A7">
            <w:pPr>
              <w:jc w:val="left"/>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1.</w:t>
            </w:r>
            <w:r>
              <w:rPr>
                <w:rFonts w:hint="eastAsia" w:ascii="仿宋_GB2312" w:hAnsi="Times New Roman" w:eastAsia="仿宋_GB2312" w:cs="仿宋_GB2312"/>
                <w:color w:val="000000"/>
                <w:sz w:val="24"/>
                <w:szCs w:val="24"/>
              </w:rPr>
              <w:t>成立评价小组，建立工作</w:t>
            </w:r>
            <w:r>
              <w:rPr>
                <w:rFonts w:hint="eastAsia" w:ascii="仿宋_GB2312" w:hAnsi="Times New Roman" w:eastAsia="仿宋_GB2312" w:cs="仿宋_GB2312"/>
                <w:color w:val="000000"/>
                <w:sz w:val="24"/>
                <w:szCs w:val="24"/>
                <w:lang w:val="en-US" w:eastAsia="zh-CN"/>
              </w:rPr>
              <w:t>小组</w:t>
            </w:r>
            <w:r>
              <w:rPr>
                <w:rFonts w:hint="eastAsia" w:ascii="仿宋_GB2312" w:hAnsi="Times New Roman" w:eastAsia="仿宋_GB2312" w:cs="仿宋_GB2312"/>
                <w:color w:val="000000"/>
                <w:sz w:val="24"/>
                <w:szCs w:val="24"/>
              </w:rPr>
              <w:t>；</w:t>
            </w:r>
            <w:r>
              <w:rPr>
                <w:rFonts w:ascii="仿宋_GB2312" w:hAnsi="Times New Roman" w:eastAsia="仿宋_GB2312" w:cs="仿宋_GB2312"/>
                <w:color w:val="000000"/>
                <w:sz w:val="24"/>
                <w:szCs w:val="24"/>
              </w:rPr>
              <w:t>2.</w:t>
            </w:r>
            <w:r>
              <w:rPr>
                <w:rFonts w:hint="eastAsia" w:ascii="仿宋_GB2312" w:hAnsi="Times New Roman" w:eastAsia="仿宋_GB2312" w:cs="仿宋_GB2312"/>
                <w:color w:val="000000"/>
                <w:sz w:val="24"/>
                <w:szCs w:val="24"/>
              </w:rPr>
              <w:t>座谈确认评价要求；</w:t>
            </w:r>
            <w:r>
              <w:rPr>
                <w:rFonts w:ascii="仿宋_GB2312" w:hAnsi="Times New Roman" w:eastAsia="仿宋_GB2312" w:cs="仿宋_GB2312"/>
                <w:color w:val="000000"/>
                <w:sz w:val="24"/>
                <w:szCs w:val="24"/>
              </w:rPr>
              <w:t>3.</w:t>
            </w:r>
            <w:r>
              <w:rPr>
                <w:rFonts w:hint="eastAsia" w:ascii="仿宋_GB2312" w:hAnsi="Times New Roman" w:eastAsia="仿宋_GB2312" w:cs="仿宋_GB2312"/>
                <w:color w:val="000000"/>
                <w:sz w:val="24"/>
                <w:szCs w:val="24"/>
              </w:rPr>
              <w:t>收集政策、资金、业务、案卷等全套资料；</w:t>
            </w:r>
            <w:r>
              <w:rPr>
                <w:rFonts w:ascii="仿宋_GB2312" w:hAnsi="Times New Roman" w:eastAsia="仿宋_GB2312" w:cs="仿宋_GB2312"/>
                <w:color w:val="000000"/>
                <w:sz w:val="24"/>
                <w:szCs w:val="24"/>
              </w:rPr>
              <w:t>4.</w:t>
            </w:r>
            <w:r>
              <w:rPr>
                <w:rFonts w:hint="eastAsia" w:ascii="仿宋_GB2312" w:hAnsi="Times New Roman" w:eastAsia="仿宋_GB2312" w:cs="仿宋_GB2312"/>
                <w:color w:val="000000"/>
                <w:sz w:val="24"/>
                <w:szCs w:val="24"/>
              </w:rPr>
              <w:t>编制评价方案、指标体系、底稿、访谈提纲、问卷；</w:t>
            </w:r>
            <w:r>
              <w:rPr>
                <w:rFonts w:ascii="仿宋_GB2312" w:hAnsi="Times New Roman" w:eastAsia="仿宋_GB2312" w:cs="仿宋_GB2312"/>
                <w:color w:val="000000"/>
                <w:sz w:val="24"/>
                <w:szCs w:val="24"/>
              </w:rPr>
              <w:t>5.</w:t>
            </w:r>
            <w:r>
              <w:rPr>
                <w:rFonts w:hint="eastAsia" w:ascii="仿宋_GB2312" w:hAnsi="Times New Roman" w:eastAsia="仿宋_GB2312" w:cs="仿宋_GB2312"/>
                <w:color w:val="000000"/>
                <w:sz w:val="24"/>
                <w:szCs w:val="24"/>
                <w:lang w:val="en-US" w:eastAsia="zh-CN"/>
              </w:rPr>
              <w:t>出台</w:t>
            </w:r>
            <w:r>
              <w:rPr>
                <w:rFonts w:hint="eastAsia" w:ascii="仿宋_GB2312" w:hAnsi="Times New Roman" w:eastAsia="仿宋_GB2312" w:cs="仿宋_GB2312"/>
                <w:color w:val="000000"/>
                <w:sz w:val="24"/>
                <w:szCs w:val="24"/>
              </w:rPr>
              <w:t>方案与指标体系并定稿。</w:t>
            </w:r>
          </w:p>
        </w:tc>
      </w:tr>
      <w:tr w14:paraId="719D3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6" w:hRule="atLeast"/>
        </w:trPr>
        <w:tc>
          <w:tcPr>
            <w:tcW w:w="1762" w:type="dxa"/>
            <w:noWrap/>
            <w:vAlign w:val="center"/>
          </w:tcPr>
          <w:p w14:paraId="311AE99C">
            <w:pPr>
              <w:jc w:val="left"/>
              <w:rPr>
                <w:rFonts w:ascii="仿宋_GB2312" w:hAnsi="Times New Roman" w:eastAsia="仿宋_GB2312" w:cs="Times New Roman"/>
                <w:color w:val="000000"/>
                <w:sz w:val="24"/>
                <w:szCs w:val="24"/>
              </w:rPr>
            </w:pPr>
            <w:r>
              <w:rPr>
                <w:rFonts w:hint="eastAsia" w:ascii="仿宋_GB2312" w:hAnsi="Times New Roman" w:eastAsia="仿宋_GB2312" w:cs="仿宋_GB2312"/>
                <w:color w:val="000000"/>
                <w:sz w:val="24"/>
                <w:szCs w:val="24"/>
              </w:rPr>
              <w:t>现场实施阶段</w:t>
            </w:r>
          </w:p>
        </w:tc>
        <w:tc>
          <w:tcPr>
            <w:tcW w:w="2385" w:type="dxa"/>
            <w:vAlign w:val="center"/>
          </w:tcPr>
          <w:p w14:paraId="11D2DB04">
            <w:pPr>
              <w:jc w:val="center"/>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4</w:t>
            </w:r>
            <w:r>
              <w:rPr>
                <w:rFonts w:hint="eastAsia" w:ascii="仿宋_GB2312" w:hAnsi="Times New Roman" w:eastAsia="仿宋_GB2312" w:cs="仿宋_GB2312"/>
                <w:color w:val="000000"/>
                <w:sz w:val="24"/>
                <w:szCs w:val="24"/>
              </w:rPr>
              <w:t>月</w:t>
            </w:r>
            <w:r>
              <w:rPr>
                <w:rFonts w:ascii="仿宋_GB2312" w:hAnsi="Times New Roman" w:eastAsia="仿宋_GB2312" w:cs="仿宋_GB2312"/>
                <w:color w:val="000000"/>
                <w:sz w:val="24"/>
                <w:szCs w:val="24"/>
              </w:rPr>
              <w:t>13</w:t>
            </w:r>
            <w:r>
              <w:rPr>
                <w:rFonts w:hint="eastAsia" w:ascii="仿宋_GB2312" w:hAnsi="Times New Roman" w:eastAsia="仿宋_GB2312" w:cs="仿宋_GB2312"/>
                <w:color w:val="000000"/>
                <w:sz w:val="24"/>
                <w:szCs w:val="24"/>
              </w:rPr>
              <w:t>日</w:t>
            </w:r>
            <w:r>
              <w:rPr>
                <w:rFonts w:ascii="仿宋_GB2312" w:hAnsi="Times New Roman" w:eastAsia="仿宋_GB2312" w:cs="Times New Roman"/>
                <w:color w:val="000000"/>
                <w:sz w:val="24"/>
                <w:szCs w:val="24"/>
              </w:rPr>
              <w:t>—</w:t>
            </w:r>
            <w:r>
              <w:rPr>
                <w:rFonts w:ascii="仿宋_GB2312" w:hAnsi="Times New Roman" w:eastAsia="仿宋_GB2312" w:cs="仿宋_GB2312"/>
                <w:color w:val="000000"/>
                <w:sz w:val="24"/>
                <w:szCs w:val="24"/>
              </w:rPr>
              <w:t>29</w:t>
            </w:r>
            <w:r>
              <w:rPr>
                <w:rFonts w:hint="eastAsia" w:ascii="仿宋_GB2312" w:hAnsi="Times New Roman" w:eastAsia="仿宋_GB2312" w:cs="仿宋_GB2312"/>
                <w:color w:val="000000"/>
                <w:sz w:val="24"/>
                <w:szCs w:val="24"/>
              </w:rPr>
              <w:t>日</w:t>
            </w:r>
          </w:p>
          <w:p w14:paraId="15ADF6E7">
            <w:pPr>
              <w:jc w:val="center"/>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5</w:t>
            </w:r>
            <w:r>
              <w:rPr>
                <w:rFonts w:hint="eastAsia" w:ascii="仿宋_GB2312" w:hAnsi="Times New Roman" w:eastAsia="仿宋_GB2312" w:cs="仿宋_GB2312"/>
                <w:color w:val="000000"/>
                <w:sz w:val="24"/>
                <w:szCs w:val="24"/>
              </w:rPr>
              <w:t>月</w:t>
            </w:r>
            <w:r>
              <w:rPr>
                <w:rFonts w:ascii="仿宋_GB2312" w:hAnsi="Times New Roman" w:eastAsia="仿宋_GB2312" w:cs="仿宋_GB2312"/>
                <w:color w:val="000000"/>
                <w:sz w:val="24"/>
                <w:szCs w:val="24"/>
              </w:rPr>
              <w:t>6</w:t>
            </w:r>
            <w:r>
              <w:rPr>
                <w:rFonts w:hint="eastAsia" w:ascii="仿宋_GB2312" w:hAnsi="Times New Roman" w:eastAsia="仿宋_GB2312" w:cs="仿宋_GB2312"/>
                <w:color w:val="000000"/>
                <w:sz w:val="24"/>
                <w:szCs w:val="24"/>
              </w:rPr>
              <w:t>日</w:t>
            </w:r>
            <w:r>
              <w:rPr>
                <w:rFonts w:ascii="仿宋_GB2312" w:hAnsi="Times New Roman" w:eastAsia="仿宋_GB2312" w:cs="Times New Roman"/>
                <w:color w:val="000000"/>
                <w:sz w:val="24"/>
                <w:szCs w:val="24"/>
              </w:rPr>
              <w:t>—</w:t>
            </w:r>
            <w:r>
              <w:rPr>
                <w:rFonts w:ascii="仿宋_GB2312" w:hAnsi="Times New Roman" w:eastAsia="仿宋_GB2312" w:cs="仿宋_GB2312"/>
                <w:color w:val="000000"/>
                <w:sz w:val="24"/>
                <w:szCs w:val="24"/>
              </w:rPr>
              <w:t>9</w:t>
            </w:r>
            <w:r>
              <w:rPr>
                <w:rFonts w:hint="eastAsia" w:ascii="仿宋_GB2312" w:hAnsi="Times New Roman" w:eastAsia="仿宋_GB2312" w:cs="仿宋_GB2312"/>
                <w:color w:val="000000"/>
                <w:sz w:val="24"/>
                <w:szCs w:val="24"/>
              </w:rPr>
              <w:t>日</w:t>
            </w:r>
          </w:p>
        </w:tc>
        <w:tc>
          <w:tcPr>
            <w:tcW w:w="5392" w:type="dxa"/>
            <w:vAlign w:val="center"/>
          </w:tcPr>
          <w:p w14:paraId="6C492FD4">
            <w:pPr>
              <w:jc w:val="left"/>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1.</w:t>
            </w:r>
            <w:r>
              <w:rPr>
                <w:rFonts w:hint="eastAsia" w:ascii="仿宋_GB2312" w:hAnsi="Times New Roman" w:eastAsia="仿宋_GB2312" w:cs="仿宋_GB2312"/>
                <w:color w:val="000000"/>
                <w:sz w:val="24"/>
                <w:szCs w:val="24"/>
              </w:rPr>
              <w:t>进驻全市</w:t>
            </w:r>
            <w:r>
              <w:rPr>
                <w:rFonts w:ascii="仿宋_GB2312" w:hAnsi="Times New Roman" w:eastAsia="仿宋_GB2312" w:cs="仿宋_GB2312"/>
                <w:color w:val="000000"/>
                <w:sz w:val="24"/>
                <w:szCs w:val="24"/>
              </w:rPr>
              <w:t>12</w:t>
            </w:r>
            <w:r>
              <w:rPr>
                <w:rFonts w:hint="eastAsia" w:ascii="仿宋_GB2312" w:hAnsi="Times New Roman" w:eastAsia="仿宋_GB2312" w:cs="仿宋_GB2312"/>
                <w:color w:val="000000"/>
                <w:sz w:val="24"/>
                <w:szCs w:val="24"/>
              </w:rPr>
              <w:t>个区开展现场核查；</w:t>
            </w:r>
            <w:r>
              <w:rPr>
                <w:rFonts w:ascii="仿宋_GB2312" w:hAnsi="Times New Roman" w:eastAsia="仿宋_GB2312" w:cs="仿宋_GB2312"/>
                <w:color w:val="000000"/>
                <w:sz w:val="24"/>
                <w:szCs w:val="24"/>
              </w:rPr>
              <w:t>2.</w:t>
            </w:r>
            <w:r>
              <w:rPr>
                <w:rFonts w:hint="eastAsia" w:ascii="仿宋_GB2312" w:hAnsi="Times New Roman" w:eastAsia="仿宋_GB2312" w:cs="仿宋_GB2312"/>
                <w:color w:val="000000"/>
                <w:sz w:val="24"/>
                <w:szCs w:val="24"/>
              </w:rPr>
              <w:t>收集并初审资金台账、凭证、档案、案卷等资料；</w:t>
            </w:r>
            <w:r>
              <w:rPr>
                <w:rFonts w:ascii="仿宋_GB2312" w:hAnsi="Times New Roman" w:eastAsia="仿宋_GB2312" w:cs="仿宋_GB2312"/>
                <w:color w:val="000000"/>
                <w:sz w:val="24"/>
                <w:szCs w:val="24"/>
              </w:rPr>
              <w:t>3.</w:t>
            </w:r>
            <w:r>
              <w:rPr>
                <w:rFonts w:hint="eastAsia" w:ascii="仿宋_GB2312" w:hAnsi="Times New Roman" w:eastAsia="仿宋_GB2312" w:cs="仿宋_GB2312"/>
                <w:color w:val="000000"/>
                <w:sz w:val="24"/>
                <w:szCs w:val="24"/>
              </w:rPr>
              <w:t>对</w:t>
            </w:r>
            <w:r>
              <w:rPr>
                <w:rFonts w:ascii="仿宋_GB2312" w:hAnsi="Times New Roman" w:eastAsia="仿宋_GB2312" w:cs="仿宋_GB2312"/>
                <w:color w:val="000000"/>
                <w:sz w:val="24"/>
                <w:szCs w:val="24"/>
              </w:rPr>
              <w:t>17</w:t>
            </w:r>
            <w:r>
              <w:rPr>
                <w:rFonts w:hint="eastAsia" w:ascii="仿宋_GB2312" w:hAnsi="Times New Roman" w:eastAsia="仿宋_GB2312" w:cs="仿宋_GB2312"/>
                <w:color w:val="000000"/>
                <w:sz w:val="24"/>
                <w:szCs w:val="24"/>
              </w:rPr>
              <w:t>个司法所、</w:t>
            </w:r>
            <w:r>
              <w:rPr>
                <w:rFonts w:ascii="仿宋_GB2312" w:hAnsi="Times New Roman" w:eastAsia="仿宋_GB2312" w:cs="仿宋_GB2312"/>
                <w:color w:val="000000"/>
                <w:sz w:val="24"/>
                <w:szCs w:val="24"/>
              </w:rPr>
              <w:t>12</w:t>
            </w:r>
            <w:r>
              <w:rPr>
                <w:rFonts w:hint="eastAsia" w:ascii="仿宋_GB2312" w:hAnsi="Times New Roman" w:eastAsia="仿宋_GB2312" w:cs="仿宋_GB2312"/>
                <w:color w:val="000000"/>
                <w:sz w:val="24"/>
                <w:szCs w:val="24"/>
              </w:rPr>
              <w:t>个社区矫正中心、</w:t>
            </w:r>
            <w:r>
              <w:rPr>
                <w:rFonts w:ascii="仿宋_GB2312" w:hAnsi="Times New Roman" w:eastAsia="仿宋_GB2312" w:cs="仿宋_GB2312"/>
                <w:color w:val="000000"/>
                <w:sz w:val="24"/>
                <w:szCs w:val="24"/>
              </w:rPr>
              <w:t>5</w:t>
            </w:r>
            <w:r>
              <w:rPr>
                <w:rFonts w:hint="eastAsia" w:ascii="仿宋_GB2312" w:hAnsi="Times New Roman" w:eastAsia="仿宋_GB2312" w:cs="仿宋_GB2312"/>
                <w:color w:val="000000"/>
                <w:sz w:val="24"/>
                <w:szCs w:val="24"/>
              </w:rPr>
              <w:t>个医调工作站实地核查、走访、记录；</w:t>
            </w:r>
            <w:r>
              <w:rPr>
                <w:rFonts w:ascii="仿宋_GB2312" w:hAnsi="Times New Roman" w:eastAsia="仿宋_GB2312" w:cs="仿宋_GB2312"/>
                <w:color w:val="000000"/>
                <w:sz w:val="24"/>
                <w:szCs w:val="24"/>
              </w:rPr>
              <w:t>4.</w:t>
            </w:r>
            <w:r>
              <w:rPr>
                <w:rFonts w:hint="eastAsia" w:ascii="仿宋_GB2312" w:hAnsi="Times New Roman" w:eastAsia="仿宋_GB2312" w:cs="仿宋_GB2312"/>
                <w:color w:val="000000"/>
                <w:sz w:val="24"/>
                <w:szCs w:val="24"/>
              </w:rPr>
              <w:t>抽查资金凭证、资产台账、矫正与调解业务档案；</w:t>
            </w:r>
            <w:r>
              <w:rPr>
                <w:rFonts w:ascii="仿宋_GB2312" w:hAnsi="Times New Roman" w:eastAsia="仿宋_GB2312" w:cs="仿宋_GB2312"/>
                <w:color w:val="000000"/>
                <w:sz w:val="24"/>
                <w:szCs w:val="24"/>
              </w:rPr>
              <w:t>5.</w:t>
            </w:r>
            <w:r>
              <w:rPr>
                <w:rFonts w:hint="eastAsia" w:ascii="仿宋_GB2312" w:hAnsi="Times New Roman" w:eastAsia="仿宋_GB2312" w:cs="仿宋_GB2312"/>
                <w:color w:val="000000"/>
                <w:sz w:val="24"/>
                <w:szCs w:val="24"/>
              </w:rPr>
              <w:t>开展结构化访谈与满意度问卷调查并现场整理。</w:t>
            </w:r>
          </w:p>
        </w:tc>
      </w:tr>
      <w:tr w14:paraId="15DDC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5" w:hRule="atLeast"/>
        </w:trPr>
        <w:tc>
          <w:tcPr>
            <w:tcW w:w="1762" w:type="dxa"/>
            <w:noWrap/>
            <w:vAlign w:val="center"/>
          </w:tcPr>
          <w:p w14:paraId="194CF6D2">
            <w:pPr>
              <w:jc w:val="left"/>
              <w:rPr>
                <w:rFonts w:ascii="仿宋_GB2312" w:hAnsi="Times New Roman" w:eastAsia="仿宋_GB2312" w:cs="Times New Roman"/>
                <w:color w:val="000000"/>
                <w:sz w:val="24"/>
                <w:szCs w:val="24"/>
              </w:rPr>
            </w:pPr>
            <w:r>
              <w:rPr>
                <w:rFonts w:hint="eastAsia" w:ascii="仿宋_GB2312" w:hAnsi="Times New Roman" w:eastAsia="仿宋_GB2312" w:cs="仿宋_GB2312"/>
                <w:color w:val="000000"/>
                <w:sz w:val="24"/>
                <w:szCs w:val="24"/>
              </w:rPr>
              <w:t>资料汇总分析</w:t>
            </w:r>
          </w:p>
        </w:tc>
        <w:tc>
          <w:tcPr>
            <w:tcW w:w="2385" w:type="dxa"/>
            <w:noWrap/>
            <w:vAlign w:val="center"/>
          </w:tcPr>
          <w:p w14:paraId="297BE5B7">
            <w:pPr>
              <w:jc w:val="center"/>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5</w:t>
            </w:r>
            <w:r>
              <w:rPr>
                <w:rFonts w:hint="eastAsia" w:ascii="仿宋_GB2312" w:hAnsi="Times New Roman" w:eastAsia="仿宋_GB2312" w:cs="仿宋_GB2312"/>
                <w:color w:val="000000"/>
                <w:sz w:val="24"/>
                <w:szCs w:val="24"/>
              </w:rPr>
              <w:t>月</w:t>
            </w:r>
            <w:r>
              <w:rPr>
                <w:rFonts w:ascii="仿宋_GB2312" w:hAnsi="Times New Roman" w:eastAsia="仿宋_GB2312" w:cs="仿宋_GB2312"/>
                <w:color w:val="000000"/>
                <w:sz w:val="24"/>
                <w:szCs w:val="24"/>
              </w:rPr>
              <w:t>11</w:t>
            </w:r>
            <w:r>
              <w:rPr>
                <w:rFonts w:hint="eastAsia" w:ascii="仿宋_GB2312" w:hAnsi="Times New Roman" w:eastAsia="仿宋_GB2312" w:cs="仿宋_GB2312"/>
                <w:color w:val="000000"/>
                <w:sz w:val="24"/>
                <w:szCs w:val="24"/>
              </w:rPr>
              <w:t>日</w:t>
            </w:r>
            <w:r>
              <w:rPr>
                <w:rFonts w:ascii="仿宋_GB2312" w:hAnsi="Times New Roman" w:eastAsia="仿宋_GB2312" w:cs="Times New Roman"/>
                <w:color w:val="000000"/>
                <w:sz w:val="24"/>
                <w:szCs w:val="24"/>
              </w:rPr>
              <w:t>—</w:t>
            </w:r>
            <w:r>
              <w:rPr>
                <w:rFonts w:ascii="仿宋_GB2312" w:hAnsi="Times New Roman" w:eastAsia="仿宋_GB2312" w:cs="仿宋_GB2312"/>
                <w:color w:val="000000"/>
                <w:sz w:val="24"/>
                <w:szCs w:val="24"/>
              </w:rPr>
              <w:t>15</w:t>
            </w:r>
            <w:r>
              <w:rPr>
                <w:rFonts w:hint="eastAsia" w:ascii="仿宋_GB2312" w:hAnsi="Times New Roman" w:eastAsia="仿宋_GB2312" w:cs="仿宋_GB2312"/>
                <w:color w:val="000000"/>
                <w:sz w:val="24"/>
                <w:szCs w:val="24"/>
              </w:rPr>
              <w:t>日</w:t>
            </w:r>
          </w:p>
        </w:tc>
        <w:tc>
          <w:tcPr>
            <w:tcW w:w="5392" w:type="dxa"/>
            <w:vAlign w:val="center"/>
          </w:tcPr>
          <w:p w14:paraId="5FFE57EA">
            <w:pPr>
              <w:jc w:val="left"/>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1.</w:t>
            </w:r>
            <w:r>
              <w:rPr>
                <w:rFonts w:hint="eastAsia" w:ascii="仿宋_GB2312" w:hAnsi="Times New Roman" w:eastAsia="仿宋_GB2312" w:cs="仿宋_GB2312"/>
                <w:color w:val="000000"/>
                <w:sz w:val="24"/>
                <w:szCs w:val="24"/>
              </w:rPr>
              <w:t>全面复核资料真实性、完整性、逻辑性；</w:t>
            </w:r>
            <w:r>
              <w:rPr>
                <w:rFonts w:ascii="仿宋_GB2312" w:hAnsi="Times New Roman" w:eastAsia="仿宋_GB2312" w:cs="仿宋_GB2312"/>
                <w:color w:val="000000"/>
                <w:sz w:val="24"/>
                <w:szCs w:val="24"/>
              </w:rPr>
              <w:t>2.</w:t>
            </w:r>
            <w:r>
              <w:rPr>
                <w:rFonts w:hint="eastAsia" w:ascii="仿宋_GB2312" w:hAnsi="Times New Roman" w:eastAsia="仿宋_GB2312" w:cs="仿宋_GB2312"/>
                <w:color w:val="000000"/>
                <w:sz w:val="24"/>
                <w:szCs w:val="24"/>
              </w:rPr>
              <w:t>数据统计、交叉验证、指标测算；</w:t>
            </w:r>
            <w:r>
              <w:rPr>
                <w:rFonts w:ascii="仿宋_GB2312" w:hAnsi="Times New Roman" w:eastAsia="仿宋_GB2312" w:cs="仿宋_GB2312"/>
                <w:color w:val="000000"/>
                <w:sz w:val="24"/>
                <w:szCs w:val="24"/>
              </w:rPr>
              <w:t>3.</w:t>
            </w:r>
            <w:r>
              <w:rPr>
                <w:rFonts w:hint="eastAsia" w:ascii="仿宋_GB2312" w:hAnsi="Times New Roman" w:eastAsia="仿宋_GB2312" w:cs="仿宋_GB2312"/>
                <w:color w:val="000000"/>
                <w:sz w:val="24"/>
                <w:szCs w:val="24"/>
              </w:rPr>
              <w:t>梳理问题清单、成因、成效亮点；</w:t>
            </w:r>
            <w:r>
              <w:rPr>
                <w:rFonts w:ascii="仿宋_GB2312" w:hAnsi="Times New Roman" w:eastAsia="仿宋_GB2312" w:cs="仿宋_GB2312"/>
                <w:color w:val="000000"/>
                <w:sz w:val="24"/>
                <w:szCs w:val="24"/>
              </w:rPr>
              <w:t>4.</w:t>
            </w:r>
            <w:r>
              <w:rPr>
                <w:rFonts w:hint="eastAsia" w:ascii="仿宋_GB2312" w:hAnsi="Times New Roman" w:eastAsia="仿宋_GB2312" w:cs="仿宋_GB2312"/>
                <w:color w:val="000000"/>
                <w:sz w:val="24"/>
                <w:szCs w:val="24"/>
              </w:rPr>
              <w:t>完成绩效指标逐项评分，确定绩效等级。</w:t>
            </w:r>
          </w:p>
        </w:tc>
      </w:tr>
      <w:tr w14:paraId="0A9D4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4" w:hRule="atLeast"/>
        </w:trPr>
        <w:tc>
          <w:tcPr>
            <w:tcW w:w="1762" w:type="dxa"/>
            <w:noWrap/>
            <w:vAlign w:val="center"/>
          </w:tcPr>
          <w:p w14:paraId="657E99BC">
            <w:pPr>
              <w:jc w:val="center"/>
              <w:rPr>
                <w:rFonts w:ascii="仿宋_GB2312" w:hAnsi="Times New Roman" w:eastAsia="仿宋_GB2312" w:cs="Times New Roman"/>
                <w:color w:val="000000"/>
                <w:sz w:val="24"/>
                <w:szCs w:val="24"/>
              </w:rPr>
            </w:pPr>
            <w:r>
              <w:rPr>
                <w:rFonts w:hint="eastAsia" w:ascii="仿宋_GB2312" w:hAnsi="Times New Roman" w:eastAsia="仿宋_GB2312" w:cs="仿宋_GB2312"/>
                <w:color w:val="000000"/>
                <w:sz w:val="24"/>
                <w:szCs w:val="24"/>
              </w:rPr>
              <w:t>报告撰写</w:t>
            </w:r>
          </w:p>
          <w:p w14:paraId="7A0C052E">
            <w:pPr>
              <w:jc w:val="center"/>
              <w:rPr>
                <w:rFonts w:ascii="仿宋_GB2312" w:hAnsi="Times New Roman" w:eastAsia="仿宋_GB2312" w:cs="Times New Roman"/>
                <w:color w:val="000000"/>
                <w:sz w:val="24"/>
                <w:szCs w:val="24"/>
              </w:rPr>
            </w:pPr>
            <w:r>
              <w:rPr>
                <w:rFonts w:hint="eastAsia" w:ascii="仿宋_GB2312" w:hAnsi="Times New Roman" w:eastAsia="仿宋_GB2312" w:cs="仿宋_GB2312"/>
                <w:color w:val="000000"/>
                <w:sz w:val="24"/>
                <w:szCs w:val="24"/>
              </w:rPr>
              <w:t>及征求意见</w:t>
            </w:r>
          </w:p>
        </w:tc>
        <w:tc>
          <w:tcPr>
            <w:tcW w:w="2385" w:type="dxa"/>
            <w:noWrap/>
            <w:vAlign w:val="center"/>
          </w:tcPr>
          <w:p w14:paraId="61819CA7">
            <w:pPr>
              <w:jc w:val="center"/>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5</w:t>
            </w:r>
            <w:r>
              <w:rPr>
                <w:rFonts w:hint="eastAsia" w:ascii="仿宋_GB2312" w:hAnsi="Times New Roman" w:eastAsia="仿宋_GB2312" w:cs="仿宋_GB2312"/>
                <w:color w:val="000000"/>
                <w:sz w:val="24"/>
                <w:szCs w:val="24"/>
              </w:rPr>
              <w:t>月</w:t>
            </w:r>
            <w:r>
              <w:rPr>
                <w:rFonts w:ascii="仿宋_GB2312" w:hAnsi="Times New Roman" w:eastAsia="仿宋_GB2312" w:cs="仿宋_GB2312"/>
                <w:color w:val="000000"/>
                <w:sz w:val="24"/>
                <w:szCs w:val="24"/>
              </w:rPr>
              <w:t>16</w:t>
            </w:r>
            <w:r>
              <w:rPr>
                <w:rFonts w:hint="eastAsia" w:ascii="仿宋_GB2312" w:hAnsi="Times New Roman" w:eastAsia="仿宋_GB2312" w:cs="仿宋_GB2312"/>
                <w:color w:val="000000"/>
                <w:sz w:val="24"/>
                <w:szCs w:val="24"/>
              </w:rPr>
              <w:t>日</w:t>
            </w:r>
            <w:r>
              <w:rPr>
                <w:rFonts w:ascii="仿宋_GB2312" w:hAnsi="Times New Roman" w:eastAsia="仿宋_GB2312" w:cs="Times New Roman"/>
                <w:color w:val="000000"/>
                <w:sz w:val="24"/>
                <w:szCs w:val="24"/>
              </w:rPr>
              <w:t>—</w:t>
            </w:r>
            <w:r>
              <w:rPr>
                <w:rFonts w:ascii="仿宋_GB2312" w:hAnsi="Times New Roman" w:eastAsia="仿宋_GB2312" w:cs="仿宋_GB2312"/>
                <w:color w:val="000000"/>
                <w:sz w:val="24"/>
                <w:szCs w:val="24"/>
              </w:rPr>
              <w:t>6</w:t>
            </w:r>
            <w:r>
              <w:rPr>
                <w:rFonts w:hint="eastAsia" w:ascii="仿宋_GB2312" w:hAnsi="Times New Roman" w:eastAsia="仿宋_GB2312" w:cs="仿宋_GB2312"/>
                <w:color w:val="000000"/>
                <w:sz w:val="24"/>
                <w:szCs w:val="24"/>
              </w:rPr>
              <w:t>月</w:t>
            </w:r>
            <w:r>
              <w:rPr>
                <w:rFonts w:ascii="仿宋_GB2312" w:hAnsi="Times New Roman" w:eastAsia="仿宋_GB2312" w:cs="仿宋_GB2312"/>
                <w:color w:val="000000"/>
                <w:sz w:val="24"/>
                <w:szCs w:val="24"/>
              </w:rPr>
              <w:t>5</w:t>
            </w:r>
            <w:r>
              <w:rPr>
                <w:rFonts w:hint="eastAsia" w:ascii="仿宋_GB2312" w:hAnsi="Times New Roman" w:eastAsia="仿宋_GB2312" w:cs="仿宋_GB2312"/>
                <w:color w:val="000000"/>
                <w:sz w:val="24"/>
                <w:szCs w:val="24"/>
              </w:rPr>
              <w:t>日</w:t>
            </w:r>
          </w:p>
        </w:tc>
        <w:tc>
          <w:tcPr>
            <w:tcW w:w="5392" w:type="dxa"/>
            <w:vAlign w:val="center"/>
          </w:tcPr>
          <w:p w14:paraId="5D529817">
            <w:pPr>
              <w:jc w:val="left"/>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1.</w:t>
            </w:r>
            <w:r>
              <w:rPr>
                <w:rFonts w:hint="eastAsia" w:ascii="仿宋_GB2312" w:hAnsi="Times New Roman" w:eastAsia="仿宋_GB2312" w:cs="仿宋_GB2312"/>
                <w:color w:val="000000"/>
                <w:sz w:val="24"/>
                <w:szCs w:val="24"/>
              </w:rPr>
              <w:t>提交核查问题清单和建议清单。</w:t>
            </w:r>
            <w:r>
              <w:rPr>
                <w:rFonts w:ascii="仿宋_GB2312" w:hAnsi="Times New Roman" w:eastAsia="仿宋_GB2312" w:cs="仿宋_GB2312"/>
                <w:color w:val="000000"/>
                <w:sz w:val="24"/>
                <w:szCs w:val="24"/>
              </w:rPr>
              <w:t>2.</w:t>
            </w:r>
            <w:r>
              <w:rPr>
                <w:rFonts w:hint="eastAsia" w:ascii="仿宋_GB2312" w:hAnsi="Times New Roman" w:eastAsia="仿宋_GB2312" w:cs="仿宋_GB2312"/>
                <w:color w:val="000000"/>
                <w:sz w:val="24"/>
                <w:szCs w:val="24"/>
              </w:rPr>
              <w:t>撰写绩效评价报告初稿。</w:t>
            </w:r>
          </w:p>
        </w:tc>
      </w:tr>
      <w:tr w14:paraId="6BAFC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8" w:hRule="atLeast"/>
        </w:trPr>
        <w:tc>
          <w:tcPr>
            <w:tcW w:w="1762" w:type="dxa"/>
            <w:noWrap/>
            <w:vAlign w:val="center"/>
          </w:tcPr>
          <w:p w14:paraId="09556231">
            <w:pPr>
              <w:jc w:val="left"/>
              <w:rPr>
                <w:rFonts w:ascii="仿宋_GB2312" w:hAnsi="Times New Roman" w:eastAsia="仿宋_GB2312" w:cs="Times New Roman"/>
                <w:color w:val="000000"/>
                <w:sz w:val="24"/>
                <w:szCs w:val="24"/>
              </w:rPr>
            </w:pPr>
            <w:r>
              <w:rPr>
                <w:rFonts w:hint="eastAsia" w:ascii="仿宋_GB2312" w:hAnsi="Times New Roman" w:eastAsia="仿宋_GB2312" w:cs="仿宋_GB2312"/>
                <w:color w:val="000000"/>
                <w:sz w:val="24"/>
                <w:szCs w:val="24"/>
              </w:rPr>
              <w:t>出具正式报告</w:t>
            </w:r>
          </w:p>
        </w:tc>
        <w:tc>
          <w:tcPr>
            <w:tcW w:w="2385" w:type="dxa"/>
            <w:noWrap/>
            <w:vAlign w:val="center"/>
          </w:tcPr>
          <w:p w14:paraId="6D5915F1">
            <w:pPr>
              <w:jc w:val="center"/>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6</w:t>
            </w:r>
            <w:r>
              <w:rPr>
                <w:rFonts w:hint="eastAsia" w:ascii="仿宋_GB2312" w:hAnsi="Times New Roman" w:eastAsia="仿宋_GB2312" w:cs="仿宋_GB2312"/>
                <w:color w:val="000000"/>
                <w:sz w:val="24"/>
                <w:szCs w:val="24"/>
              </w:rPr>
              <w:t>月</w:t>
            </w:r>
            <w:r>
              <w:rPr>
                <w:rFonts w:ascii="仿宋_GB2312" w:hAnsi="Times New Roman" w:eastAsia="仿宋_GB2312" w:cs="仿宋_GB2312"/>
                <w:color w:val="000000"/>
                <w:sz w:val="24"/>
                <w:szCs w:val="24"/>
              </w:rPr>
              <w:t>7</w:t>
            </w:r>
            <w:r>
              <w:rPr>
                <w:rFonts w:hint="eastAsia" w:ascii="仿宋_GB2312" w:hAnsi="Times New Roman" w:eastAsia="仿宋_GB2312" w:cs="仿宋_GB2312"/>
                <w:color w:val="000000"/>
                <w:sz w:val="24"/>
                <w:szCs w:val="24"/>
              </w:rPr>
              <w:t>日</w:t>
            </w:r>
            <w:r>
              <w:rPr>
                <w:rFonts w:ascii="仿宋_GB2312" w:hAnsi="Times New Roman" w:eastAsia="仿宋_GB2312" w:cs="Times New Roman"/>
                <w:color w:val="000000"/>
                <w:sz w:val="24"/>
                <w:szCs w:val="24"/>
              </w:rPr>
              <w:t>—</w:t>
            </w:r>
            <w:r>
              <w:rPr>
                <w:rFonts w:ascii="仿宋_GB2312" w:hAnsi="Times New Roman" w:eastAsia="仿宋_GB2312" w:cs="仿宋_GB2312"/>
                <w:color w:val="000000"/>
                <w:sz w:val="24"/>
                <w:szCs w:val="24"/>
              </w:rPr>
              <w:t>15</w:t>
            </w:r>
            <w:r>
              <w:rPr>
                <w:rFonts w:hint="eastAsia" w:ascii="仿宋_GB2312" w:hAnsi="Times New Roman" w:eastAsia="仿宋_GB2312" w:cs="仿宋_GB2312"/>
                <w:color w:val="000000"/>
                <w:sz w:val="24"/>
                <w:szCs w:val="24"/>
              </w:rPr>
              <w:t>日</w:t>
            </w:r>
          </w:p>
        </w:tc>
        <w:tc>
          <w:tcPr>
            <w:tcW w:w="5392" w:type="dxa"/>
            <w:noWrap/>
            <w:vAlign w:val="center"/>
          </w:tcPr>
          <w:p w14:paraId="67DAB6F3">
            <w:pPr>
              <w:jc w:val="left"/>
              <w:rPr>
                <w:rFonts w:ascii="仿宋_GB2312" w:hAnsi="Times New Roman" w:eastAsia="仿宋_GB2312" w:cs="Times New Roman"/>
                <w:color w:val="000000"/>
                <w:sz w:val="24"/>
                <w:szCs w:val="24"/>
              </w:rPr>
            </w:pPr>
            <w:r>
              <w:rPr>
                <w:rFonts w:ascii="仿宋_GB2312" w:hAnsi="Times New Roman" w:eastAsia="仿宋_GB2312" w:cs="仿宋_GB2312"/>
                <w:color w:val="000000"/>
                <w:sz w:val="24"/>
                <w:szCs w:val="24"/>
              </w:rPr>
              <w:t>1.</w:t>
            </w:r>
            <w:r>
              <w:rPr>
                <w:rFonts w:hint="eastAsia" w:ascii="仿宋_GB2312" w:hAnsi="Times New Roman" w:eastAsia="仿宋_GB2312" w:cs="仿宋_GB2312"/>
                <w:color w:val="000000"/>
                <w:sz w:val="24"/>
                <w:szCs w:val="24"/>
              </w:rPr>
              <w:t>形成正式绩效评价报告。</w:t>
            </w:r>
          </w:p>
        </w:tc>
      </w:tr>
    </w:tbl>
    <w:p w14:paraId="74EEAFBB">
      <w:pPr>
        <w:spacing w:line="560" w:lineRule="exact"/>
        <w:ind w:firstLine="640" w:firstLineChars="200"/>
        <w:rPr>
          <w:rFonts w:ascii="仿宋_GB2312" w:hAnsi="Times New Roman" w:eastAsia="仿宋_GB2312" w:cs="Times New Roman"/>
          <w:sz w:val="32"/>
          <w:szCs w:val="32"/>
        </w:rPr>
      </w:pPr>
      <w:bookmarkStart w:id="77" w:name="_Toc165214315"/>
      <w:bookmarkStart w:id="78" w:name="_Toc105920645"/>
      <w:r>
        <w:rPr>
          <w:rFonts w:ascii="仿宋_GB2312" w:hAnsi="Times New Roman" w:eastAsia="仿宋_GB2312" w:cs="仿宋_GB2312"/>
          <w:sz w:val="32"/>
          <w:szCs w:val="32"/>
        </w:rPr>
        <w:t>2026</w:t>
      </w:r>
      <w:r>
        <w:rPr>
          <w:rFonts w:hint="eastAsia" w:ascii="仿宋_GB2312" w:hAnsi="Times New Roman" w:eastAsia="仿宋_GB2312" w:cs="仿宋_GB2312"/>
          <w:sz w:val="32"/>
          <w:szCs w:val="32"/>
        </w:rPr>
        <w:t>年</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月</w:t>
      </w:r>
      <w:r>
        <w:rPr>
          <w:rFonts w:ascii="仿宋_GB2312" w:hAnsi="Times New Roman" w:eastAsia="仿宋_GB2312" w:cs="仿宋_GB2312"/>
          <w:sz w:val="32"/>
          <w:szCs w:val="32"/>
        </w:rPr>
        <w:t>15</w:t>
      </w:r>
      <w:r>
        <w:rPr>
          <w:rFonts w:hint="eastAsia" w:ascii="仿宋_GB2312" w:hAnsi="Times New Roman" w:eastAsia="仿宋_GB2312" w:cs="仿宋_GB2312"/>
          <w:sz w:val="32"/>
          <w:szCs w:val="32"/>
        </w:rPr>
        <w:t>日至</w:t>
      </w:r>
      <w:r>
        <w:rPr>
          <w:rFonts w:ascii="仿宋_GB2312" w:hAnsi="Times New Roman" w:eastAsia="仿宋_GB2312" w:cs="仿宋_GB2312"/>
          <w:sz w:val="32"/>
          <w:szCs w:val="32"/>
        </w:rPr>
        <w:t>2026</w:t>
      </w:r>
      <w:r>
        <w:rPr>
          <w:rFonts w:hint="eastAsia" w:ascii="仿宋_GB2312" w:hAnsi="Times New Roman" w:eastAsia="仿宋_GB2312" w:cs="仿宋_GB2312"/>
          <w:sz w:val="32"/>
          <w:szCs w:val="32"/>
        </w:rPr>
        <w:t>年</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月</w:t>
      </w:r>
      <w:r>
        <w:rPr>
          <w:rFonts w:ascii="仿宋_GB2312" w:hAnsi="Times New Roman" w:eastAsia="仿宋_GB2312" w:cs="仿宋_GB2312"/>
          <w:sz w:val="32"/>
          <w:szCs w:val="32"/>
        </w:rPr>
        <w:t>29</w:t>
      </w:r>
      <w:r>
        <w:rPr>
          <w:rFonts w:hint="eastAsia" w:ascii="仿宋_GB2312" w:hAnsi="Times New Roman" w:eastAsia="仿宋_GB2312" w:cs="仿宋_GB2312"/>
          <w:sz w:val="32"/>
          <w:szCs w:val="32"/>
        </w:rPr>
        <w:t>日开展现场核查，涵盖全市</w:t>
      </w:r>
      <w:r>
        <w:rPr>
          <w:rFonts w:ascii="仿宋_GB2312" w:hAnsi="Times New Roman" w:eastAsia="仿宋_GB2312" w:cs="仿宋_GB2312"/>
          <w:sz w:val="32"/>
          <w:szCs w:val="32"/>
        </w:rPr>
        <w:t>12</w:t>
      </w:r>
      <w:r>
        <w:rPr>
          <w:rFonts w:hint="eastAsia" w:ascii="仿宋_GB2312" w:hAnsi="Times New Roman" w:eastAsia="仿宋_GB2312" w:cs="仿宋_GB2312"/>
          <w:sz w:val="32"/>
          <w:szCs w:val="32"/>
        </w:rPr>
        <w:t>个区，现场查看了</w:t>
      </w:r>
      <w:r>
        <w:rPr>
          <w:rFonts w:ascii="仿宋_GB2312" w:hAnsi="Times New Roman" w:eastAsia="仿宋_GB2312" w:cs="仿宋_GB2312"/>
          <w:sz w:val="32"/>
          <w:szCs w:val="32"/>
        </w:rPr>
        <w:t>12</w:t>
      </w:r>
      <w:r>
        <w:rPr>
          <w:rFonts w:hint="eastAsia" w:ascii="仿宋_GB2312" w:hAnsi="Times New Roman" w:eastAsia="仿宋_GB2312" w:cs="仿宋_GB2312"/>
          <w:sz w:val="32"/>
          <w:szCs w:val="32"/>
        </w:rPr>
        <w:t>个社区矫正中心、</w:t>
      </w:r>
      <w:r>
        <w:rPr>
          <w:rFonts w:ascii="仿宋_GB2312" w:hAnsi="Times New Roman" w:eastAsia="仿宋_GB2312" w:cs="仿宋_GB2312"/>
          <w:sz w:val="32"/>
          <w:szCs w:val="32"/>
        </w:rPr>
        <w:t>17</w:t>
      </w:r>
      <w:r>
        <w:rPr>
          <w:rFonts w:hint="eastAsia" w:ascii="仿宋_GB2312" w:hAnsi="Times New Roman" w:eastAsia="仿宋_GB2312" w:cs="仿宋_GB2312"/>
          <w:sz w:val="32"/>
          <w:szCs w:val="32"/>
        </w:rPr>
        <w:t>个司法所和</w:t>
      </w:r>
      <w:r>
        <w:rPr>
          <w:rFonts w:ascii="仿宋_GB2312" w:hAnsi="Times New Roman" w:eastAsia="仿宋_GB2312" w:cs="仿宋_GB2312"/>
          <w:sz w:val="32"/>
          <w:szCs w:val="32"/>
        </w:rPr>
        <w:t>5</w:t>
      </w:r>
      <w:r>
        <w:rPr>
          <w:rFonts w:hint="eastAsia" w:ascii="仿宋_GB2312" w:hAnsi="Times New Roman" w:eastAsia="仿宋_GB2312" w:cs="仿宋_GB2312"/>
          <w:sz w:val="32"/>
          <w:szCs w:val="32"/>
        </w:rPr>
        <w:t>个医患纠纷调解工</w:t>
      </w:r>
      <w:bookmarkStart w:id="79" w:name="_GoBack"/>
      <w:bookmarkEnd w:id="79"/>
      <w:r>
        <w:rPr>
          <w:rFonts w:hint="eastAsia" w:ascii="仿宋_GB2312" w:hAnsi="Times New Roman" w:eastAsia="仿宋_GB2312" w:cs="仿宋_GB2312"/>
          <w:sz w:val="32"/>
          <w:szCs w:val="32"/>
        </w:rPr>
        <w:t>作站现场，核查人民调解卷宗</w:t>
      </w:r>
      <w:r>
        <w:rPr>
          <w:rFonts w:ascii="仿宋_GB2312" w:hAnsi="Times New Roman" w:eastAsia="仿宋_GB2312" w:cs="仿宋_GB2312"/>
          <w:sz w:val="32"/>
          <w:szCs w:val="32"/>
        </w:rPr>
        <w:t>82</w:t>
      </w:r>
      <w:r>
        <w:rPr>
          <w:rFonts w:hint="eastAsia" w:ascii="仿宋_GB2312" w:hAnsi="Times New Roman" w:eastAsia="仿宋_GB2312" w:cs="仿宋_GB2312"/>
          <w:sz w:val="32"/>
          <w:szCs w:val="32"/>
        </w:rPr>
        <w:t>份，其中公调对接卷宗</w:t>
      </w:r>
      <w:r>
        <w:rPr>
          <w:rFonts w:ascii="仿宋_GB2312" w:hAnsi="Times New Roman" w:eastAsia="仿宋_GB2312" w:cs="仿宋_GB2312"/>
          <w:sz w:val="32"/>
          <w:szCs w:val="32"/>
        </w:rPr>
        <w:t>69</w:t>
      </w:r>
      <w:r>
        <w:rPr>
          <w:rFonts w:hint="eastAsia" w:ascii="仿宋_GB2312" w:hAnsi="Times New Roman" w:eastAsia="仿宋_GB2312" w:cs="仿宋_GB2312"/>
          <w:sz w:val="32"/>
          <w:szCs w:val="32"/>
        </w:rPr>
        <w:t>份、医调卷宗</w:t>
      </w:r>
      <w:r>
        <w:rPr>
          <w:rFonts w:ascii="仿宋_GB2312" w:hAnsi="Times New Roman" w:eastAsia="仿宋_GB2312" w:cs="仿宋_GB2312"/>
          <w:sz w:val="32"/>
          <w:szCs w:val="32"/>
        </w:rPr>
        <w:t>13</w:t>
      </w:r>
      <w:r>
        <w:rPr>
          <w:rFonts w:hint="eastAsia" w:ascii="仿宋_GB2312" w:hAnsi="Times New Roman" w:eastAsia="仿宋_GB2312" w:cs="仿宋_GB2312"/>
          <w:sz w:val="32"/>
          <w:szCs w:val="32"/>
        </w:rPr>
        <w:t>份；社区矫正档案</w:t>
      </w:r>
      <w:r>
        <w:rPr>
          <w:rFonts w:ascii="仿宋_GB2312" w:hAnsi="Times New Roman" w:eastAsia="仿宋_GB2312" w:cs="仿宋_GB2312"/>
          <w:sz w:val="32"/>
          <w:szCs w:val="32"/>
        </w:rPr>
        <w:t>98</w:t>
      </w:r>
      <w:r>
        <w:rPr>
          <w:rFonts w:hint="eastAsia" w:ascii="仿宋_GB2312" w:hAnsi="Times New Roman" w:eastAsia="仿宋_GB2312" w:cs="仿宋_GB2312"/>
          <w:sz w:val="32"/>
          <w:szCs w:val="32"/>
        </w:rPr>
        <w:t>份，其中，</w:t>
      </w:r>
      <w:r>
        <w:rPr>
          <w:rFonts w:ascii="仿宋_GB2312" w:hAnsi="Times New Roman" w:eastAsia="仿宋_GB2312" w:cs="仿宋_GB2312"/>
          <w:sz w:val="32"/>
          <w:szCs w:val="32"/>
        </w:rPr>
        <w:t>2025</w:t>
      </w:r>
      <w:r>
        <w:rPr>
          <w:rFonts w:hint="eastAsia" w:ascii="仿宋_GB2312" w:hAnsi="Times New Roman" w:eastAsia="仿宋_GB2312" w:cs="仿宋_GB2312"/>
          <w:sz w:val="32"/>
          <w:szCs w:val="32"/>
        </w:rPr>
        <w:t>年已解矫档案</w:t>
      </w:r>
      <w:r>
        <w:rPr>
          <w:rFonts w:ascii="仿宋_GB2312" w:hAnsi="Times New Roman" w:eastAsia="仿宋_GB2312" w:cs="仿宋_GB2312"/>
          <w:sz w:val="32"/>
          <w:szCs w:val="32"/>
        </w:rPr>
        <w:t>25</w:t>
      </w:r>
      <w:r>
        <w:rPr>
          <w:rFonts w:hint="eastAsia" w:ascii="仿宋_GB2312" w:hAnsi="Times New Roman" w:eastAsia="仿宋_GB2312" w:cs="仿宋_GB2312"/>
          <w:sz w:val="32"/>
          <w:szCs w:val="32"/>
        </w:rPr>
        <w:t>份、在矫档案</w:t>
      </w:r>
      <w:r>
        <w:rPr>
          <w:rFonts w:ascii="仿宋_GB2312" w:hAnsi="Times New Roman" w:eastAsia="仿宋_GB2312" w:cs="仿宋_GB2312"/>
          <w:sz w:val="32"/>
          <w:szCs w:val="32"/>
        </w:rPr>
        <w:t>73</w:t>
      </w:r>
      <w:r>
        <w:rPr>
          <w:rFonts w:hint="eastAsia" w:ascii="仿宋_GB2312" w:hAnsi="Times New Roman" w:eastAsia="仿宋_GB2312" w:cs="仿宋_GB2312"/>
          <w:sz w:val="32"/>
          <w:szCs w:val="32"/>
        </w:rPr>
        <w:t>份。抽取秦淮区、鼓楼区、江宁区、六合区共计</w:t>
      </w:r>
      <w:r>
        <w:rPr>
          <w:rFonts w:ascii="仿宋_GB2312" w:hAnsi="Times New Roman" w:eastAsia="仿宋_GB2312" w:cs="仿宋_GB2312"/>
          <w:sz w:val="32"/>
          <w:szCs w:val="32"/>
        </w:rPr>
        <w:t>4</w:t>
      </w:r>
      <w:r>
        <w:rPr>
          <w:rFonts w:hint="eastAsia" w:ascii="仿宋_GB2312" w:hAnsi="Times New Roman" w:eastAsia="仿宋_GB2312" w:cs="仿宋_GB2312"/>
          <w:sz w:val="32"/>
          <w:szCs w:val="32"/>
        </w:rPr>
        <w:t>名公调对接调解员、</w:t>
      </w:r>
      <w:r>
        <w:rPr>
          <w:rFonts w:ascii="仿宋_GB2312" w:hAnsi="Times New Roman" w:eastAsia="仿宋_GB2312" w:cs="仿宋_GB2312"/>
          <w:sz w:val="32"/>
          <w:szCs w:val="32"/>
        </w:rPr>
        <w:t>8</w:t>
      </w:r>
      <w:r>
        <w:rPr>
          <w:rFonts w:hint="eastAsia" w:ascii="仿宋_GB2312" w:hAnsi="Times New Roman" w:eastAsia="仿宋_GB2312" w:cs="仿宋_GB2312"/>
          <w:sz w:val="32"/>
          <w:szCs w:val="32"/>
        </w:rPr>
        <w:t>名社区矫正社工和</w:t>
      </w:r>
      <w:r>
        <w:rPr>
          <w:rFonts w:ascii="仿宋_GB2312" w:hAnsi="Times New Roman" w:eastAsia="仿宋_GB2312" w:cs="仿宋_GB2312"/>
          <w:sz w:val="32"/>
          <w:szCs w:val="32"/>
        </w:rPr>
        <w:t>8</w:t>
      </w:r>
      <w:r>
        <w:rPr>
          <w:rFonts w:hint="eastAsia" w:ascii="仿宋_GB2312" w:hAnsi="Times New Roman" w:eastAsia="仿宋_GB2312" w:cs="仿宋_GB2312"/>
          <w:sz w:val="32"/>
          <w:szCs w:val="32"/>
        </w:rPr>
        <w:t>名矫正对象进行访谈。</w:t>
      </w:r>
      <w:bookmarkEnd w:id="77"/>
      <w:bookmarkEnd w:id="78"/>
    </w:p>
    <w:p w14:paraId="5B96F9C9">
      <w:pPr>
        <w:ind w:firstLine="640" w:firstLineChars="200"/>
        <w:rPr>
          <w:rFonts w:ascii="仿宋_GB2312" w:hAnsi="Times New Roman" w:eastAsia="仿宋_GB2312" w:cs="Times New Roman"/>
          <w:sz w:val="32"/>
          <w:szCs w:val="32"/>
        </w:rPr>
      </w:pPr>
    </w:p>
    <w:p w14:paraId="3BEF75B1">
      <w:pPr>
        <w:ind w:firstLine="627" w:firstLineChars="196"/>
        <w:rPr>
          <w:rFonts w:ascii="仿宋_GB2312" w:hAnsi="Times New Roman" w:eastAsia="仿宋_GB2312" w:cs="Times New Roman"/>
          <w:sz w:val="32"/>
          <w:szCs w:val="32"/>
        </w:rPr>
      </w:pPr>
      <w:r>
        <w:rPr>
          <w:rFonts w:hint="eastAsia" w:ascii="仿宋_GB2312" w:hAnsi="Times New Roman" w:eastAsia="仿宋_GB2312" w:cs="仿宋_GB2312"/>
          <w:sz w:val="32"/>
          <w:szCs w:val="32"/>
        </w:rPr>
        <w:t>附件：绩效评价指标得分情况表</w:t>
      </w:r>
    </w:p>
    <w:p w14:paraId="39F008F2">
      <w:pPr>
        <w:ind w:firstLine="643" w:firstLineChars="200"/>
        <w:rPr>
          <w:rFonts w:ascii="仿宋_GB2312" w:hAnsi="Times New Roman" w:eastAsia="仿宋_GB2312" w:cs="Times New Roman"/>
          <w:b/>
          <w:bCs/>
          <w:sz w:val="32"/>
          <w:szCs w:val="32"/>
        </w:rPr>
      </w:pPr>
    </w:p>
    <w:bookmarkEnd w:id="36"/>
    <w:p w14:paraId="00636632">
      <w:pPr>
        <w:ind w:firstLine="640" w:firstLineChars="200"/>
        <w:jc w:val="right"/>
        <w:rPr>
          <w:rFonts w:ascii="仿宋_GB2312" w:hAnsi="Times New Roman" w:eastAsia="仿宋_GB2312" w:cs="Times New Roman"/>
          <w:sz w:val="32"/>
          <w:szCs w:val="32"/>
        </w:rPr>
      </w:pPr>
    </w:p>
    <w:bookmarkEnd w:id="22"/>
    <w:p w14:paraId="1DC7E2EA">
      <w:pPr>
        <w:wordWrap w:val="0"/>
        <w:ind w:right="640" w:firstLine="4640" w:firstLineChars="1450"/>
        <w:rPr>
          <w:rFonts w:ascii="仿宋_GB2312" w:hAnsi="Times New Roman" w:eastAsia="仿宋_GB2312" w:cs="Times New Roman"/>
          <w:sz w:val="32"/>
          <w:szCs w:val="32"/>
        </w:rPr>
      </w:pPr>
    </w:p>
    <w:p w14:paraId="68F29C59">
      <w:pPr>
        <w:wordWrap w:val="0"/>
        <w:ind w:right="640" w:firstLine="3045" w:firstLineChars="1450"/>
        <w:rPr>
          <w:rFonts w:cs="Times New Roman"/>
        </w:rPr>
      </w:pPr>
    </w:p>
    <w:sectPr>
      <w:pgSz w:w="11906" w:h="16838"/>
      <w:pgMar w:top="1588" w:right="1588" w:bottom="1588" w:left="158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9B973">
    <w:pPr>
      <w:pStyle w:val="10"/>
      <w:jc w:val="center"/>
      <w:rPr>
        <w:rFonts w:cs="Times New Roman"/>
      </w:rPr>
    </w:pPr>
  </w:p>
  <w:p w14:paraId="13960BA4">
    <w:pPr>
      <w:pStyle w:val="10"/>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44A89">
    <w:pPr>
      <w:pStyle w:val="10"/>
      <w:jc w:val="center"/>
      <w:rPr>
        <w:rFonts w:cs="Times New Roman"/>
      </w:rPr>
    </w:pPr>
    <w:r>
      <w:fldChar w:fldCharType="begin"/>
    </w:r>
    <w:r>
      <w:instrText xml:space="preserve">PAGE   \* MERGEFORMAT</w:instrText>
    </w:r>
    <w:r>
      <w:fldChar w:fldCharType="separate"/>
    </w:r>
    <w:r>
      <w:rPr>
        <w:lang w:val="zh-CN"/>
      </w:rPr>
      <w:t>24</w:t>
    </w:r>
    <w:r>
      <w:rPr>
        <w:lang w:val="zh-CN"/>
      </w:rPr>
      <w:fldChar w:fldCharType="end"/>
    </w:r>
  </w:p>
  <w:p w14:paraId="7B2C693D">
    <w:pPr>
      <w:pStyle w:val="10"/>
      <w:rPr>
        <w:rFonts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1A4C24"/>
    <w:multiLevelType w:val="singleLevel"/>
    <w:tmpl w:val="311A4C24"/>
    <w:lvl w:ilvl="0" w:tentative="0">
      <w:start w:val="1"/>
      <w:numFmt w:val="chineseCounting"/>
      <w:suff w:val="nothing"/>
      <w:lvlText w:val="（%1）"/>
      <w:lvlJc w:val="left"/>
      <w:rPr>
        <w:rFonts w:hint="eastAsia"/>
      </w:rPr>
    </w:lvl>
  </w:abstractNum>
  <w:abstractNum w:abstractNumId="1">
    <w:nsid w:val="4228412B"/>
    <w:multiLevelType w:val="multilevel"/>
    <w:tmpl w:val="4228412B"/>
    <w:lvl w:ilvl="0" w:tentative="0">
      <w:start w:val="1"/>
      <w:numFmt w:val="decimal"/>
      <w:lvlText w:val="%1."/>
      <w:lvlJc w:val="left"/>
      <w:pPr>
        <w:ind w:left="920" w:hanging="360"/>
      </w:pPr>
      <w:rPr>
        <w:rFonts w:hint="default"/>
      </w:rPr>
    </w:lvl>
    <w:lvl w:ilvl="1" w:tentative="0">
      <w:start w:val="1"/>
      <w:numFmt w:val="decimalEnclosedCircle"/>
      <w:lvlText w:val="%2"/>
      <w:lvlJc w:val="left"/>
      <w:pPr>
        <w:ind w:left="1360" w:hanging="360"/>
      </w:pPr>
      <w:rPr>
        <w:rFonts w:hint="default"/>
      </w:r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2">
    <w:nsid w:val="5F35517B"/>
    <w:multiLevelType w:val="multilevel"/>
    <w:tmpl w:val="5F35517B"/>
    <w:lvl w:ilvl="0" w:tentative="0">
      <w:start w:val="1"/>
      <w:numFmt w:val="chineseCountingThousand"/>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07D94"/>
    <w:rsid w:val="00000CD7"/>
    <w:rsid w:val="000010C7"/>
    <w:rsid w:val="00004D00"/>
    <w:rsid w:val="0000589D"/>
    <w:rsid w:val="00006192"/>
    <w:rsid w:val="00006600"/>
    <w:rsid w:val="0001043B"/>
    <w:rsid w:val="000136DB"/>
    <w:rsid w:val="00013AA6"/>
    <w:rsid w:val="00014503"/>
    <w:rsid w:val="00014D9B"/>
    <w:rsid w:val="00020892"/>
    <w:rsid w:val="00022614"/>
    <w:rsid w:val="00022EBE"/>
    <w:rsid w:val="0002415B"/>
    <w:rsid w:val="00026B11"/>
    <w:rsid w:val="00027AAC"/>
    <w:rsid w:val="000320DA"/>
    <w:rsid w:val="0003317A"/>
    <w:rsid w:val="00033885"/>
    <w:rsid w:val="00033E7F"/>
    <w:rsid w:val="000344B8"/>
    <w:rsid w:val="000348AF"/>
    <w:rsid w:val="000348D6"/>
    <w:rsid w:val="00035BB2"/>
    <w:rsid w:val="00035F01"/>
    <w:rsid w:val="0003686E"/>
    <w:rsid w:val="00036A18"/>
    <w:rsid w:val="00036ACC"/>
    <w:rsid w:val="000403A3"/>
    <w:rsid w:val="000403F2"/>
    <w:rsid w:val="00040BB4"/>
    <w:rsid w:val="00040DC4"/>
    <w:rsid w:val="00040EBD"/>
    <w:rsid w:val="00041874"/>
    <w:rsid w:val="0004202E"/>
    <w:rsid w:val="0005031A"/>
    <w:rsid w:val="000514AE"/>
    <w:rsid w:val="00051D9C"/>
    <w:rsid w:val="00052C46"/>
    <w:rsid w:val="000531DB"/>
    <w:rsid w:val="00054002"/>
    <w:rsid w:val="00054453"/>
    <w:rsid w:val="0005545B"/>
    <w:rsid w:val="00055716"/>
    <w:rsid w:val="00060EAA"/>
    <w:rsid w:val="00060EE5"/>
    <w:rsid w:val="000647D5"/>
    <w:rsid w:val="00065501"/>
    <w:rsid w:val="00066E9A"/>
    <w:rsid w:val="00067248"/>
    <w:rsid w:val="00070C15"/>
    <w:rsid w:val="0007152A"/>
    <w:rsid w:val="00071EF0"/>
    <w:rsid w:val="0007324D"/>
    <w:rsid w:val="00074B23"/>
    <w:rsid w:val="00081E9B"/>
    <w:rsid w:val="000841A2"/>
    <w:rsid w:val="000853D1"/>
    <w:rsid w:val="00085606"/>
    <w:rsid w:val="00085718"/>
    <w:rsid w:val="00085EEC"/>
    <w:rsid w:val="0008675C"/>
    <w:rsid w:val="00092A9C"/>
    <w:rsid w:val="0009309C"/>
    <w:rsid w:val="000949B8"/>
    <w:rsid w:val="000957D6"/>
    <w:rsid w:val="000966EC"/>
    <w:rsid w:val="0009772E"/>
    <w:rsid w:val="000A00FE"/>
    <w:rsid w:val="000A308E"/>
    <w:rsid w:val="000A30B1"/>
    <w:rsid w:val="000A334A"/>
    <w:rsid w:val="000A3898"/>
    <w:rsid w:val="000A76C9"/>
    <w:rsid w:val="000A7B6F"/>
    <w:rsid w:val="000B035F"/>
    <w:rsid w:val="000B0E38"/>
    <w:rsid w:val="000B1A9F"/>
    <w:rsid w:val="000B23CF"/>
    <w:rsid w:val="000B5A6D"/>
    <w:rsid w:val="000B7BB3"/>
    <w:rsid w:val="000C0537"/>
    <w:rsid w:val="000C171E"/>
    <w:rsid w:val="000C271D"/>
    <w:rsid w:val="000C3EE9"/>
    <w:rsid w:val="000C512C"/>
    <w:rsid w:val="000C6E2C"/>
    <w:rsid w:val="000C7EE0"/>
    <w:rsid w:val="000D04DF"/>
    <w:rsid w:val="000D443A"/>
    <w:rsid w:val="000D5778"/>
    <w:rsid w:val="000D6978"/>
    <w:rsid w:val="000D7576"/>
    <w:rsid w:val="000E06E7"/>
    <w:rsid w:val="000E14E7"/>
    <w:rsid w:val="000E29F1"/>
    <w:rsid w:val="000F0ED9"/>
    <w:rsid w:val="000F1176"/>
    <w:rsid w:val="000F1506"/>
    <w:rsid w:val="000F211A"/>
    <w:rsid w:val="000F24ED"/>
    <w:rsid w:val="000F2718"/>
    <w:rsid w:val="000F47FF"/>
    <w:rsid w:val="000F4A80"/>
    <w:rsid w:val="000F547B"/>
    <w:rsid w:val="001016B3"/>
    <w:rsid w:val="001033BB"/>
    <w:rsid w:val="001046FB"/>
    <w:rsid w:val="00104FCB"/>
    <w:rsid w:val="0010661F"/>
    <w:rsid w:val="001075EC"/>
    <w:rsid w:val="00107A3B"/>
    <w:rsid w:val="00107FD6"/>
    <w:rsid w:val="001102BB"/>
    <w:rsid w:val="00111087"/>
    <w:rsid w:val="00112892"/>
    <w:rsid w:val="00113949"/>
    <w:rsid w:val="001209C1"/>
    <w:rsid w:val="0012486B"/>
    <w:rsid w:val="001277B8"/>
    <w:rsid w:val="00131456"/>
    <w:rsid w:val="00131989"/>
    <w:rsid w:val="00131F80"/>
    <w:rsid w:val="00133848"/>
    <w:rsid w:val="001346A3"/>
    <w:rsid w:val="00134804"/>
    <w:rsid w:val="00136DD3"/>
    <w:rsid w:val="0014021B"/>
    <w:rsid w:val="0014074E"/>
    <w:rsid w:val="00141FBF"/>
    <w:rsid w:val="0014234C"/>
    <w:rsid w:val="00143803"/>
    <w:rsid w:val="00151280"/>
    <w:rsid w:val="00152199"/>
    <w:rsid w:val="00152E1D"/>
    <w:rsid w:val="001567AA"/>
    <w:rsid w:val="001578C3"/>
    <w:rsid w:val="00160F07"/>
    <w:rsid w:val="001612B5"/>
    <w:rsid w:val="00161681"/>
    <w:rsid w:val="00161D17"/>
    <w:rsid w:val="00162667"/>
    <w:rsid w:val="001628B0"/>
    <w:rsid w:val="00163979"/>
    <w:rsid w:val="00163C67"/>
    <w:rsid w:val="00165CC8"/>
    <w:rsid w:val="00165F4E"/>
    <w:rsid w:val="00166109"/>
    <w:rsid w:val="001707AB"/>
    <w:rsid w:val="00171132"/>
    <w:rsid w:val="0017141B"/>
    <w:rsid w:val="00171BF1"/>
    <w:rsid w:val="00172FF1"/>
    <w:rsid w:val="00176090"/>
    <w:rsid w:val="001768C4"/>
    <w:rsid w:val="0018043A"/>
    <w:rsid w:val="00182DC2"/>
    <w:rsid w:val="001831E4"/>
    <w:rsid w:val="0018352C"/>
    <w:rsid w:val="001860AB"/>
    <w:rsid w:val="00186103"/>
    <w:rsid w:val="0018773C"/>
    <w:rsid w:val="00190618"/>
    <w:rsid w:val="00190B3D"/>
    <w:rsid w:val="00190CAC"/>
    <w:rsid w:val="001958D2"/>
    <w:rsid w:val="00196682"/>
    <w:rsid w:val="00196FCD"/>
    <w:rsid w:val="00197C93"/>
    <w:rsid w:val="001A092A"/>
    <w:rsid w:val="001A216F"/>
    <w:rsid w:val="001A68C2"/>
    <w:rsid w:val="001A7738"/>
    <w:rsid w:val="001B08C8"/>
    <w:rsid w:val="001B1DB2"/>
    <w:rsid w:val="001B31E2"/>
    <w:rsid w:val="001B3659"/>
    <w:rsid w:val="001B574A"/>
    <w:rsid w:val="001C040E"/>
    <w:rsid w:val="001C0992"/>
    <w:rsid w:val="001C1FE6"/>
    <w:rsid w:val="001C3478"/>
    <w:rsid w:val="001D0DDE"/>
    <w:rsid w:val="001D1DBD"/>
    <w:rsid w:val="001D2E63"/>
    <w:rsid w:val="001D5C0D"/>
    <w:rsid w:val="001D5F81"/>
    <w:rsid w:val="001D6165"/>
    <w:rsid w:val="001E2E51"/>
    <w:rsid w:val="001E3C2A"/>
    <w:rsid w:val="001E3F61"/>
    <w:rsid w:val="001E4C13"/>
    <w:rsid w:val="001F3BCC"/>
    <w:rsid w:val="001F48DD"/>
    <w:rsid w:val="001F6CB4"/>
    <w:rsid w:val="00201339"/>
    <w:rsid w:val="0020173E"/>
    <w:rsid w:val="00201BC4"/>
    <w:rsid w:val="002025EF"/>
    <w:rsid w:val="002045B8"/>
    <w:rsid w:val="00204BCF"/>
    <w:rsid w:val="002063E4"/>
    <w:rsid w:val="00210E12"/>
    <w:rsid w:val="00211BCF"/>
    <w:rsid w:val="0021205F"/>
    <w:rsid w:val="0021235B"/>
    <w:rsid w:val="00212C36"/>
    <w:rsid w:val="00213065"/>
    <w:rsid w:val="002135A5"/>
    <w:rsid w:val="00217449"/>
    <w:rsid w:val="002174BB"/>
    <w:rsid w:val="0022040D"/>
    <w:rsid w:val="002212FA"/>
    <w:rsid w:val="00221ABF"/>
    <w:rsid w:val="00223DF3"/>
    <w:rsid w:val="00225B85"/>
    <w:rsid w:val="00230EFA"/>
    <w:rsid w:val="00231FE8"/>
    <w:rsid w:val="00234FB5"/>
    <w:rsid w:val="0023596A"/>
    <w:rsid w:val="00236CA7"/>
    <w:rsid w:val="002408C7"/>
    <w:rsid w:val="00240A36"/>
    <w:rsid w:val="002413E9"/>
    <w:rsid w:val="00243D8D"/>
    <w:rsid w:val="00247D68"/>
    <w:rsid w:val="00250069"/>
    <w:rsid w:val="00260905"/>
    <w:rsid w:val="00262092"/>
    <w:rsid w:val="0026271F"/>
    <w:rsid w:val="0026388E"/>
    <w:rsid w:val="002638B1"/>
    <w:rsid w:val="00263C0D"/>
    <w:rsid w:val="00267A33"/>
    <w:rsid w:val="00267DA8"/>
    <w:rsid w:val="0027054B"/>
    <w:rsid w:val="002709DE"/>
    <w:rsid w:val="00270B58"/>
    <w:rsid w:val="00270CCF"/>
    <w:rsid w:val="0027115A"/>
    <w:rsid w:val="00271514"/>
    <w:rsid w:val="002741FC"/>
    <w:rsid w:val="0027575F"/>
    <w:rsid w:val="00275DD6"/>
    <w:rsid w:val="00280CD1"/>
    <w:rsid w:val="00282B8B"/>
    <w:rsid w:val="002831D1"/>
    <w:rsid w:val="00286E01"/>
    <w:rsid w:val="0028756A"/>
    <w:rsid w:val="002904D3"/>
    <w:rsid w:val="00290FB5"/>
    <w:rsid w:val="00292B48"/>
    <w:rsid w:val="00293FAC"/>
    <w:rsid w:val="002950A2"/>
    <w:rsid w:val="00295573"/>
    <w:rsid w:val="0029597B"/>
    <w:rsid w:val="00296C4E"/>
    <w:rsid w:val="002979F8"/>
    <w:rsid w:val="002A14C5"/>
    <w:rsid w:val="002A2295"/>
    <w:rsid w:val="002A2A5F"/>
    <w:rsid w:val="002A4218"/>
    <w:rsid w:val="002A7AAC"/>
    <w:rsid w:val="002A7E4A"/>
    <w:rsid w:val="002B1383"/>
    <w:rsid w:val="002B1835"/>
    <w:rsid w:val="002B3478"/>
    <w:rsid w:val="002C0C97"/>
    <w:rsid w:val="002C214B"/>
    <w:rsid w:val="002C30AB"/>
    <w:rsid w:val="002C482C"/>
    <w:rsid w:val="002C59D8"/>
    <w:rsid w:val="002D09DE"/>
    <w:rsid w:val="002D5257"/>
    <w:rsid w:val="002D547A"/>
    <w:rsid w:val="002D5BD0"/>
    <w:rsid w:val="002D6126"/>
    <w:rsid w:val="002E2204"/>
    <w:rsid w:val="002E2545"/>
    <w:rsid w:val="002E3B65"/>
    <w:rsid w:val="002E47FD"/>
    <w:rsid w:val="002E7127"/>
    <w:rsid w:val="002F095B"/>
    <w:rsid w:val="002F362F"/>
    <w:rsid w:val="002F4941"/>
    <w:rsid w:val="002F5EF1"/>
    <w:rsid w:val="002F796A"/>
    <w:rsid w:val="003024D3"/>
    <w:rsid w:val="00302558"/>
    <w:rsid w:val="003031B2"/>
    <w:rsid w:val="003048BD"/>
    <w:rsid w:val="003049E1"/>
    <w:rsid w:val="0030523F"/>
    <w:rsid w:val="00305ABD"/>
    <w:rsid w:val="00306157"/>
    <w:rsid w:val="003066BA"/>
    <w:rsid w:val="003068C1"/>
    <w:rsid w:val="00310345"/>
    <w:rsid w:val="003140BD"/>
    <w:rsid w:val="0031449E"/>
    <w:rsid w:val="003211D9"/>
    <w:rsid w:val="0033001E"/>
    <w:rsid w:val="003329F7"/>
    <w:rsid w:val="00334251"/>
    <w:rsid w:val="00336E4E"/>
    <w:rsid w:val="00340B4F"/>
    <w:rsid w:val="00342327"/>
    <w:rsid w:val="00350C20"/>
    <w:rsid w:val="00354581"/>
    <w:rsid w:val="00355F54"/>
    <w:rsid w:val="003566CA"/>
    <w:rsid w:val="00357064"/>
    <w:rsid w:val="0036273A"/>
    <w:rsid w:val="0036535D"/>
    <w:rsid w:val="003715E4"/>
    <w:rsid w:val="00371816"/>
    <w:rsid w:val="00371C77"/>
    <w:rsid w:val="00377000"/>
    <w:rsid w:val="003846F6"/>
    <w:rsid w:val="00385237"/>
    <w:rsid w:val="00385DB1"/>
    <w:rsid w:val="0038780A"/>
    <w:rsid w:val="00390F8E"/>
    <w:rsid w:val="00391A7E"/>
    <w:rsid w:val="003938B9"/>
    <w:rsid w:val="0039614D"/>
    <w:rsid w:val="0039711D"/>
    <w:rsid w:val="003A08E2"/>
    <w:rsid w:val="003A4DDC"/>
    <w:rsid w:val="003A5B34"/>
    <w:rsid w:val="003A5F4B"/>
    <w:rsid w:val="003A6615"/>
    <w:rsid w:val="003A66A5"/>
    <w:rsid w:val="003B1C97"/>
    <w:rsid w:val="003B277F"/>
    <w:rsid w:val="003B3B64"/>
    <w:rsid w:val="003B3C22"/>
    <w:rsid w:val="003B3DAD"/>
    <w:rsid w:val="003B5184"/>
    <w:rsid w:val="003B6B10"/>
    <w:rsid w:val="003C059F"/>
    <w:rsid w:val="003C0947"/>
    <w:rsid w:val="003C1064"/>
    <w:rsid w:val="003C1F40"/>
    <w:rsid w:val="003C2B11"/>
    <w:rsid w:val="003C3036"/>
    <w:rsid w:val="003C42EB"/>
    <w:rsid w:val="003C4936"/>
    <w:rsid w:val="003C5794"/>
    <w:rsid w:val="003C6E9C"/>
    <w:rsid w:val="003C7706"/>
    <w:rsid w:val="003D0628"/>
    <w:rsid w:val="003D15C0"/>
    <w:rsid w:val="003D35F9"/>
    <w:rsid w:val="003D372E"/>
    <w:rsid w:val="003D4577"/>
    <w:rsid w:val="003D5EB7"/>
    <w:rsid w:val="003D6DB8"/>
    <w:rsid w:val="003D6EEA"/>
    <w:rsid w:val="003D7274"/>
    <w:rsid w:val="003E0C88"/>
    <w:rsid w:val="003E1B6B"/>
    <w:rsid w:val="003E2694"/>
    <w:rsid w:val="003E3839"/>
    <w:rsid w:val="003E3981"/>
    <w:rsid w:val="003F1A9E"/>
    <w:rsid w:val="003F47DB"/>
    <w:rsid w:val="003F5A42"/>
    <w:rsid w:val="0040352D"/>
    <w:rsid w:val="00404019"/>
    <w:rsid w:val="00406391"/>
    <w:rsid w:val="00407CDA"/>
    <w:rsid w:val="0041034B"/>
    <w:rsid w:val="004126A9"/>
    <w:rsid w:val="00412ABE"/>
    <w:rsid w:val="0041495A"/>
    <w:rsid w:val="004157AA"/>
    <w:rsid w:val="00420E7A"/>
    <w:rsid w:val="0042217A"/>
    <w:rsid w:val="00423A37"/>
    <w:rsid w:val="004249B0"/>
    <w:rsid w:val="0042577A"/>
    <w:rsid w:val="00430392"/>
    <w:rsid w:val="00431F0D"/>
    <w:rsid w:val="00432C1E"/>
    <w:rsid w:val="004330AC"/>
    <w:rsid w:val="00434E6D"/>
    <w:rsid w:val="00435396"/>
    <w:rsid w:val="00435670"/>
    <w:rsid w:val="00437AEE"/>
    <w:rsid w:val="00443137"/>
    <w:rsid w:val="0044323C"/>
    <w:rsid w:val="00444E3B"/>
    <w:rsid w:val="004465B4"/>
    <w:rsid w:val="00447426"/>
    <w:rsid w:val="0045067A"/>
    <w:rsid w:val="00453214"/>
    <w:rsid w:val="00454146"/>
    <w:rsid w:val="0045455C"/>
    <w:rsid w:val="00457189"/>
    <w:rsid w:val="004604C6"/>
    <w:rsid w:val="00462BEB"/>
    <w:rsid w:val="00463F9F"/>
    <w:rsid w:val="0046541D"/>
    <w:rsid w:val="00465469"/>
    <w:rsid w:val="004660F7"/>
    <w:rsid w:val="0046774E"/>
    <w:rsid w:val="0046789C"/>
    <w:rsid w:val="00472C18"/>
    <w:rsid w:val="00472D43"/>
    <w:rsid w:val="00473B46"/>
    <w:rsid w:val="0047530D"/>
    <w:rsid w:val="00476AE7"/>
    <w:rsid w:val="0048116B"/>
    <w:rsid w:val="00481309"/>
    <w:rsid w:val="00482DE2"/>
    <w:rsid w:val="00487315"/>
    <w:rsid w:val="004904D9"/>
    <w:rsid w:val="00493264"/>
    <w:rsid w:val="004946A1"/>
    <w:rsid w:val="00496211"/>
    <w:rsid w:val="00496C92"/>
    <w:rsid w:val="004A035C"/>
    <w:rsid w:val="004A3A2E"/>
    <w:rsid w:val="004A49C5"/>
    <w:rsid w:val="004A4FD8"/>
    <w:rsid w:val="004A5275"/>
    <w:rsid w:val="004A66D4"/>
    <w:rsid w:val="004B148D"/>
    <w:rsid w:val="004B2971"/>
    <w:rsid w:val="004B2999"/>
    <w:rsid w:val="004B2E11"/>
    <w:rsid w:val="004B35B9"/>
    <w:rsid w:val="004B4288"/>
    <w:rsid w:val="004B52C3"/>
    <w:rsid w:val="004B54DC"/>
    <w:rsid w:val="004B682E"/>
    <w:rsid w:val="004B6BE6"/>
    <w:rsid w:val="004B6E9D"/>
    <w:rsid w:val="004C2023"/>
    <w:rsid w:val="004C2C8F"/>
    <w:rsid w:val="004C5D5D"/>
    <w:rsid w:val="004C6E5A"/>
    <w:rsid w:val="004C6F43"/>
    <w:rsid w:val="004C6F8E"/>
    <w:rsid w:val="004C7E7E"/>
    <w:rsid w:val="004D137C"/>
    <w:rsid w:val="004D313A"/>
    <w:rsid w:val="004D4616"/>
    <w:rsid w:val="004D5191"/>
    <w:rsid w:val="004D6360"/>
    <w:rsid w:val="004D64B4"/>
    <w:rsid w:val="004D6690"/>
    <w:rsid w:val="004D7897"/>
    <w:rsid w:val="004E393A"/>
    <w:rsid w:val="004E5463"/>
    <w:rsid w:val="004E5FA0"/>
    <w:rsid w:val="004F1BCF"/>
    <w:rsid w:val="004F4096"/>
    <w:rsid w:val="004F54EB"/>
    <w:rsid w:val="004F6419"/>
    <w:rsid w:val="005004DD"/>
    <w:rsid w:val="0050201C"/>
    <w:rsid w:val="00502238"/>
    <w:rsid w:val="00503993"/>
    <w:rsid w:val="00503B19"/>
    <w:rsid w:val="00503F56"/>
    <w:rsid w:val="00504F5C"/>
    <w:rsid w:val="00506783"/>
    <w:rsid w:val="00506E4C"/>
    <w:rsid w:val="00510320"/>
    <w:rsid w:val="0051258A"/>
    <w:rsid w:val="0051304E"/>
    <w:rsid w:val="0051453A"/>
    <w:rsid w:val="00514A5F"/>
    <w:rsid w:val="0051637A"/>
    <w:rsid w:val="00517CD2"/>
    <w:rsid w:val="00520E20"/>
    <w:rsid w:val="005230CA"/>
    <w:rsid w:val="00524A71"/>
    <w:rsid w:val="00527B48"/>
    <w:rsid w:val="005305AD"/>
    <w:rsid w:val="00540B82"/>
    <w:rsid w:val="00547174"/>
    <w:rsid w:val="00550418"/>
    <w:rsid w:val="00551925"/>
    <w:rsid w:val="005609A3"/>
    <w:rsid w:val="0056424A"/>
    <w:rsid w:val="00567337"/>
    <w:rsid w:val="00567B2C"/>
    <w:rsid w:val="00570E2B"/>
    <w:rsid w:val="00571C07"/>
    <w:rsid w:val="00571C56"/>
    <w:rsid w:val="00573171"/>
    <w:rsid w:val="00573768"/>
    <w:rsid w:val="00573EF6"/>
    <w:rsid w:val="005751BA"/>
    <w:rsid w:val="005755D0"/>
    <w:rsid w:val="00576212"/>
    <w:rsid w:val="00576369"/>
    <w:rsid w:val="005764D4"/>
    <w:rsid w:val="00576750"/>
    <w:rsid w:val="00581026"/>
    <w:rsid w:val="005838F2"/>
    <w:rsid w:val="00585B3D"/>
    <w:rsid w:val="00586BC9"/>
    <w:rsid w:val="0059004C"/>
    <w:rsid w:val="00590F2E"/>
    <w:rsid w:val="00592D5F"/>
    <w:rsid w:val="00593DDF"/>
    <w:rsid w:val="00595A84"/>
    <w:rsid w:val="005A06AF"/>
    <w:rsid w:val="005A3E5D"/>
    <w:rsid w:val="005A657F"/>
    <w:rsid w:val="005A7174"/>
    <w:rsid w:val="005B144B"/>
    <w:rsid w:val="005B2B7D"/>
    <w:rsid w:val="005B30A7"/>
    <w:rsid w:val="005B4936"/>
    <w:rsid w:val="005B51C8"/>
    <w:rsid w:val="005C0638"/>
    <w:rsid w:val="005C140F"/>
    <w:rsid w:val="005C2481"/>
    <w:rsid w:val="005C391D"/>
    <w:rsid w:val="005C77D5"/>
    <w:rsid w:val="005D0B32"/>
    <w:rsid w:val="005D19FC"/>
    <w:rsid w:val="005D265B"/>
    <w:rsid w:val="005D48EB"/>
    <w:rsid w:val="005D63A3"/>
    <w:rsid w:val="005D6BCC"/>
    <w:rsid w:val="005E0228"/>
    <w:rsid w:val="005E17E8"/>
    <w:rsid w:val="005E21E6"/>
    <w:rsid w:val="005E2D59"/>
    <w:rsid w:val="005E42E1"/>
    <w:rsid w:val="005E54C5"/>
    <w:rsid w:val="005E636A"/>
    <w:rsid w:val="005E6BC0"/>
    <w:rsid w:val="005E77D1"/>
    <w:rsid w:val="005F00A0"/>
    <w:rsid w:val="005F68B1"/>
    <w:rsid w:val="005F7C8D"/>
    <w:rsid w:val="00600448"/>
    <w:rsid w:val="006008AA"/>
    <w:rsid w:val="00602345"/>
    <w:rsid w:val="0060258D"/>
    <w:rsid w:val="0060261E"/>
    <w:rsid w:val="00606273"/>
    <w:rsid w:val="006068DA"/>
    <w:rsid w:val="00607E4F"/>
    <w:rsid w:val="0061148C"/>
    <w:rsid w:val="0061206D"/>
    <w:rsid w:val="006122E4"/>
    <w:rsid w:val="00613DD8"/>
    <w:rsid w:val="00617761"/>
    <w:rsid w:val="006208A4"/>
    <w:rsid w:val="00621BDB"/>
    <w:rsid w:val="006244F4"/>
    <w:rsid w:val="00624D57"/>
    <w:rsid w:val="00625A99"/>
    <w:rsid w:val="00625D97"/>
    <w:rsid w:val="00626E81"/>
    <w:rsid w:val="00627623"/>
    <w:rsid w:val="00633538"/>
    <w:rsid w:val="00634AFB"/>
    <w:rsid w:val="00634C55"/>
    <w:rsid w:val="006350EC"/>
    <w:rsid w:val="00637A2D"/>
    <w:rsid w:val="00643FE0"/>
    <w:rsid w:val="006466BB"/>
    <w:rsid w:val="00646AB8"/>
    <w:rsid w:val="00653EBE"/>
    <w:rsid w:val="006548FF"/>
    <w:rsid w:val="006568B1"/>
    <w:rsid w:val="006568C0"/>
    <w:rsid w:val="00657928"/>
    <w:rsid w:val="00660A9D"/>
    <w:rsid w:val="00660D08"/>
    <w:rsid w:val="00666445"/>
    <w:rsid w:val="00670B7E"/>
    <w:rsid w:val="006718A6"/>
    <w:rsid w:val="00671D68"/>
    <w:rsid w:val="00677788"/>
    <w:rsid w:val="00680E4C"/>
    <w:rsid w:val="00681084"/>
    <w:rsid w:val="0068471A"/>
    <w:rsid w:val="00692C3A"/>
    <w:rsid w:val="006939FB"/>
    <w:rsid w:val="00693AA3"/>
    <w:rsid w:val="00696F1F"/>
    <w:rsid w:val="006A02D9"/>
    <w:rsid w:val="006A0E6E"/>
    <w:rsid w:val="006A1141"/>
    <w:rsid w:val="006A2155"/>
    <w:rsid w:val="006A6F2D"/>
    <w:rsid w:val="006A715F"/>
    <w:rsid w:val="006B113A"/>
    <w:rsid w:val="006B70F9"/>
    <w:rsid w:val="006C2B1B"/>
    <w:rsid w:val="006C6C0A"/>
    <w:rsid w:val="006C6E76"/>
    <w:rsid w:val="006D1A1D"/>
    <w:rsid w:val="006D2269"/>
    <w:rsid w:val="006D24C2"/>
    <w:rsid w:val="006D6476"/>
    <w:rsid w:val="006D66E0"/>
    <w:rsid w:val="006D6867"/>
    <w:rsid w:val="006D7E2A"/>
    <w:rsid w:val="006D7EBE"/>
    <w:rsid w:val="006E085F"/>
    <w:rsid w:val="006E156E"/>
    <w:rsid w:val="006E1621"/>
    <w:rsid w:val="006E1E54"/>
    <w:rsid w:val="006E1F85"/>
    <w:rsid w:val="006E32A3"/>
    <w:rsid w:val="006E3334"/>
    <w:rsid w:val="006E43F7"/>
    <w:rsid w:val="006E5636"/>
    <w:rsid w:val="006E564F"/>
    <w:rsid w:val="006F478D"/>
    <w:rsid w:val="006F494B"/>
    <w:rsid w:val="006F72DB"/>
    <w:rsid w:val="0070158E"/>
    <w:rsid w:val="00704180"/>
    <w:rsid w:val="00704207"/>
    <w:rsid w:val="00704F8D"/>
    <w:rsid w:val="00706383"/>
    <w:rsid w:val="00707BE0"/>
    <w:rsid w:val="00710C25"/>
    <w:rsid w:val="00713583"/>
    <w:rsid w:val="00717983"/>
    <w:rsid w:val="007200D8"/>
    <w:rsid w:val="007212A3"/>
    <w:rsid w:val="007223DA"/>
    <w:rsid w:val="0072361D"/>
    <w:rsid w:val="0072535D"/>
    <w:rsid w:val="00730CBC"/>
    <w:rsid w:val="007333C3"/>
    <w:rsid w:val="00733C7E"/>
    <w:rsid w:val="00733D9D"/>
    <w:rsid w:val="00733E26"/>
    <w:rsid w:val="00735CB0"/>
    <w:rsid w:val="00736530"/>
    <w:rsid w:val="00736671"/>
    <w:rsid w:val="00736997"/>
    <w:rsid w:val="0073738C"/>
    <w:rsid w:val="0074038E"/>
    <w:rsid w:val="00744657"/>
    <w:rsid w:val="00751C48"/>
    <w:rsid w:val="0075227A"/>
    <w:rsid w:val="0075259E"/>
    <w:rsid w:val="00753595"/>
    <w:rsid w:val="007545B4"/>
    <w:rsid w:val="007567DF"/>
    <w:rsid w:val="0075737D"/>
    <w:rsid w:val="007573DA"/>
    <w:rsid w:val="00757AB8"/>
    <w:rsid w:val="0076066C"/>
    <w:rsid w:val="00760F7C"/>
    <w:rsid w:val="00761BC2"/>
    <w:rsid w:val="007622F2"/>
    <w:rsid w:val="0076362B"/>
    <w:rsid w:val="00763D19"/>
    <w:rsid w:val="00763D2D"/>
    <w:rsid w:val="00764652"/>
    <w:rsid w:val="00765D19"/>
    <w:rsid w:val="0076695F"/>
    <w:rsid w:val="007728AF"/>
    <w:rsid w:val="00774808"/>
    <w:rsid w:val="00774D0C"/>
    <w:rsid w:val="00775DE2"/>
    <w:rsid w:val="00776256"/>
    <w:rsid w:val="00780DAB"/>
    <w:rsid w:val="00781D76"/>
    <w:rsid w:val="00783B83"/>
    <w:rsid w:val="007840F9"/>
    <w:rsid w:val="00784228"/>
    <w:rsid w:val="007858F1"/>
    <w:rsid w:val="00785A3D"/>
    <w:rsid w:val="00787622"/>
    <w:rsid w:val="00790090"/>
    <w:rsid w:val="007922A4"/>
    <w:rsid w:val="00793F42"/>
    <w:rsid w:val="00794AF1"/>
    <w:rsid w:val="00794FB1"/>
    <w:rsid w:val="00795351"/>
    <w:rsid w:val="0079536D"/>
    <w:rsid w:val="00795B92"/>
    <w:rsid w:val="00796147"/>
    <w:rsid w:val="00796888"/>
    <w:rsid w:val="00797D4D"/>
    <w:rsid w:val="007A1236"/>
    <w:rsid w:val="007A3A6B"/>
    <w:rsid w:val="007A5838"/>
    <w:rsid w:val="007A67B8"/>
    <w:rsid w:val="007B0B0F"/>
    <w:rsid w:val="007B0EEA"/>
    <w:rsid w:val="007B20F5"/>
    <w:rsid w:val="007B53B3"/>
    <w:rsid w:val="007C3240"/>
    <w:rsid w:val="007C6043"/>
    <w:rsid w:val="007C7350"/>
    <w:rsid w:val="007C750E"/>
    <w:rsid w:val="007C7589"/>
    <w:rsid w:val="007C7EC2"/>
    <w:rsid w:val="007D3651"/>
    <w:rsid w:val="007D6C99"/>
    <w:rsid w:val="007E05B5"/>
    <w:rsid w:val="007E06A5"/>
    <w:rsid w:val="007E0795"/>
    <w:rsid w:val="007E2D5E"/>
    <w:rsid w:val="007E3733"/>
    <w:rsid w:val="007E4052"/>
    <w:rsid w:val="007E4C75"/>
    <w:rsid w:val="007E4E5F"/>
    <w:rsid w:val="007E6008"/>
    <w:rsid w:val="007E6829"/>
    <w:rsid w:val="007E6A30"/>
    <w:rsid w:val="007E7F41"/>
    <w:rsid w:val="007F0285"/>
    <w:rsid w:val="007F3926"/>
    <w:rsid w:val="007F3CA0"/>
    <w:rsid w:val="007F3D4E"/>
    <w:rsid w:val="007F4CD9"/>
    <w:rsid w:val="007F54BE"/>
    <w:rsid w:val="007F5E7A"/>
    <w:rsid w:val="0080117B"/>
    <w:rsid w:val="008021A7"/>
    <w:rsid w:val="0080334E"/>
    <w:rsid w:val="0080501A"/>
    <w:rsid w:val="0080599E"/>
    <w:rsid w:val="008061D3"/>
    <w:rsid w:val="00810CD5"/>
    <w:rsid w:val="008111C3"/>
    <w:rsid w:val="0081219D"/>
    <w:rsid w:val="008202DD"/>
    <w:rsid w:val="00820719"/>
    <w:rsid w:val="008221F9"/>
    <w:rsid w:val="00825106"/>
    <w:rsid w:val="00825C57"/>
    <w:rsid w:val="00827AB2"/>
    <w:rsid w:val="00830DB8"/>
    <w:rsid w:val="00831E0D"/>
    <w:rsid w:val="008338F3"/>
    <w:rsid w:val="00833C99"/>
    <w:rsid w:val="008361E1"/>
    <w:rsid w:val="008405CA"/>
    <w:rsid w:val="00841559"/>
    <w:rsid w:val="00844190"/>
    <w:rsid w:val="008441FA"/>
    <w:rsid w:val="00846533"/>
    <w:rsid w:val="00847D2E"/>
    <w:rsid w:val="0085016C"/>
    <w:rsid w:val="008503B2"/>
    <w:rsid w:val="00850533"/>
    <w:rsid w:val="008512CB"/>
    <w:rsid w:val="0085197B"/>
    <w:rsid w:val="0085502E"/>
    <w:rsid w:val="008552EA"/>
    <w:rsid w:val="008571CB"/>
    <w:rsid w:val="0086441B"/>
    <w:rsid w:val="008652B1"/>
    <w:rsid w:val="00865623"/>
    <w:rsid w:val="00865CE3"/>
    <w:rsid w:val="00866E2D"/>
    <w:rsid w:val="008674CF"/>
    <w:rsid w:val="00872F49"/>
    <w:rsid w:val="0087371D"/>
    <w:rsid w:val="00874826"/>
    <w:rsid w:val="00875F82"/>
    <w:rsid w:val="008767DA"/>
    <w:rsid w:val="00877EB0"/>
    <w:rsid w:val="00880CE3"/>
    <w:rsid w:val="00881856"/>
    <w:rsid w:val="00881F29"/>
    <w:rsid w:val="0088213E"/>
    <w:rsid w:val="00885BBF"/>
    <w:rsid w:val="00890D8D"/>
    <w:rsid w:val="0089167B"/>
    <w:rsid w:val="00892C9B"/>
    <w:rsid w:val="00892E4F"/>
    <w:rsid w:val="0089317F"/>
    <w:rsid w:val="008949D1"/>
    <w:rsid w:val="00894C20"/>
    <w:rsid w:val="008966AF"/>
    <w:rsid w:val="008A1799"/>
    <w:rsid w:val="008A4351"/>
    <w:rsid w:val="008A4671"/>
    <w:rsid w:val="008A4B76"/>
    <w:rsid w:val="008A5BD2"/>
    <w:rsid w:val="008B205C"/>
    <w:rsid w:val="008B3DF2"/>
    <w:rsid w:val="008B5B03"/>
    <w:rsid w:val="008B6EF0"/>
    <w:rsid w:val="008C0226"/>
    <w:rsid w:val="008C1111"/>
    <w:rsid w:val="008C25AC"/>
    <w:rsid w:val="008C2B0D"/>
    <w:rsid w:val="008C3963"/>
    <w:rsid w:val="008C3A20"/>
    <w:rsid w:val="008C5750"/>
    <w:rsid w:val="008C6153"/>
    <w:rsid w:val="008C64E5"/>
    <w:rsid w:val="008D0501"/>
    <w:rsid w:val="008D1308"/>
    <w:rsid w:val="008D16FF"/>
    <w:rsid w:val="008D51AC"/>
    <w:rsid w:val="008D61AB"/>
    <w:rsid w:val="008E1D69"/>
    <w:rsid w:val="008E1F72"/>
    <w:rsid w:val="008E2A42"/>
    <w:rsid w:val="008E444F"/>
    <w:rsid w:val="008E657C"/>
    <w:rsid w:val="008E6DEF"/>
    <w:rsid w:val="008F0B79"/>
    <w:rsid w:val="008F13FA"/>
    <w:rsid w:val="008F339F"/>
    <w:rsid w:val="008F3B2E"/>
    <w:rsid w:val="008F4CF1"/>
    <w:rsid w:val="008F4D51"/>
    <w:rsid w:val="008F641B"/>
    <w:rsid w:val="008F6639"/>
    <w:rsid w:val="00900EFC"/>
    <w:rsid w:val="009033FC"/>
    <w:rsid w:val="00903BA1"/>
    <w:rsid w:val="009057A7"/>
    <w:rsid w:val="0091035C"/>
    <w:rsid w:val="00911082"/>
    <w:rsid w:val="0091270F"/>
    <w:rsid w:val="00913100"/>
    <w:rsid w:val="0091347B"/>
    <w:rsid w:val="00913C3C"/>
    <w:rsid w:val="00913E62"/>
    <w:rsid w:val="009164AE"/>
    <w:rsid w:val="009178E1"/>
    <w:rsid w:val="00920053"/>
    <w:rsid w:val="00920304"/>
    <w:rsid w:val="00920344"/>
    <w:rsid w:val="0092164E"/>
    <w:rsid w:val="00922D51"/>
    <w:rsid w:val="009307AF"/>
    <w:rsid w:val="00931FAD"/>
    <w:rsid w:val="00933088"/>
    <w:rsid w:val="0093391D"/>
    <w:rsid w:val="00935B60"/>
    <w:rsid w:val="00937A95"/>
    <w:rsid w:val="00937C1F"/>
    <w:rsid w:val="00940F34"/>
    <w:rsid w:val="00941438"/>
    <w:rsid w:val="009415BC"/>
    <w:rsid w:val="00941663"/>
    <w:rsid w:val="00941E2D"/>
    <w:rsid w:val="009422CA"/>
    <w:rsid w:val="009426C1"/>
    <w:rsid w:val="00944CF0"/>
    <w:rsid w:val="00946998"/>
    <w:rsid w:val="0094723B"/>
    <w:rsid w:val="0094772E"/>
    <w:rsid w:val="009527C9"/>
    <w:rsid w:val="0095361B"/>
    <w:rsid w:val="00953EA5"/>
    <w:rsid w:val="0095471A"/>
    <w:rsid w:val="009558C1"/>
    <w:rsid w:val="0096108C"/>
    <w:rsid w:val="00963EA5"/>
    <w:rsid w:val="0096563C"/>
    <w:rsid w:val="0096633E"/>
    <w:rsid w:val="0096758B"/>
    <w:rsid w:val="009712DD"/>
    <w:rsid w:val="0097334C"/>
    <w:rsid w:val="0097705B"/>
    <w:rsid w:val="009801D3"/>
    <w:rsid w:val="00980302"/>
    <w:rsid w:val="00980D5D"/>
    <w:rsid w:val="0098121F"/>
    <w:rsid w:val="00983791"/>
    <w:rsid w:val="009856BC"/>
    <w:rsid w:val="009859FE"/>
    <w:rsid w:val="0098672B"/>
    <w:rsid w:val="00986F6D"/>
    <w:rsid w:val="0099264C"/>
    <w:rsid w:val="00992B82"/>
    <w:rsid w:val="009936F1"/>
    <w:rsid w:val="0099371D"/>
    <w:rsid w:val="00994758"/>
    <w:rsid w:val="009947E2"/>
    <w:rsid w:val="009948A8"/>
    <w:rsid w:val="00995757"/>
    <w:rsid w:val="0099624A"/>
    <w:rsid w:val="00996DFF"/>
    <w:rsid w:val="0099705A"/>
    <w:rsid w:val="009A178A"/>
    <w:rsid w:val="009A2465"/>
    <w:rsid w:val="009A33AE"/>
    <w:rsid w:val="009A531B"/>
    <w:rsid w:val="009A754E"/>
    <w:rsid w:val="009A7D21"/>
    <w:rsid w:val="009B28B7"/>
    <w:rsid w:val="009B42B8"/>
    <w:rsid w:val="009B4E24"/>
    <w:rsid w:val="009C18F4"/>
    <w:rsid w:val="009C1EEF"/>
    <w:rsid w:val="009C2BAA"/>
    <w:rsid w:val="009C3865"/>
    <w:rsid w:val="009C3A02"/>
    <w:rsid w:val="009C3E48"/>
    <w:rsid w:val="009C71CB"/>
    <w:rsid w:val="009D0518"/>
    <w:rsid w:val="009D11E6"/>
    <w:rsid w:val="009D1E32"/>
    <w:rsid w:val="009D478A"/>
    <w:rsid w:val="009D58B5"/>
    <w:rsid w:val="009D648C"/>
    <w:rsid w:val="009D7A47"/>
    <w:rsid w:val="009E013F"/>
    <w:rsid w:val="009E0B01"/>
    <w:rsid w:val="009E2B55"/>
    <w:rsid w:val="009E53BC"/>
    <w:rsid w:val="009E5A7D"/>
    <w:rsid w:val="009E5D4B"/>
    <w:rsid w:val="009E68DF"/>
    <w:rsid w:val="009F0ADB"/>
    <w:rsid w:val="009F1C47"/>
    <w:rsid w:val="009F1F08"/>
    <w:rsid w:val="009F265F"/>
    <w:rsid w:val="009F3A79"/>
    <w:rsid w:val="009F40EA"/>
    <w:rsid w:val="009F4219"/>
    <w:rsid w:val="009F431B"/>
    <w:rsid w:val="009F5639"/>
    <w:rsid w:val="009F68C9"/>
    <w:rsid w:val="009F7165"/>
    <w:rsid w:val="00A0218F"/>
    <w:rsid w:val="00A02A74"/>
    <w:rsid w:val="00A05960"/>
    <w:rsid w:val="00A079FA"/>
    <w:rsid w:val="00A11984"/>
    <w:rsid w:val="00A15412"/>
    <w:rsid w:val="00A1570F"/>
    <w:rsid w:val="00A2004E"/>
    <w:rsid w:val="00A20A89"/>
    <w:rsid w:val="00A25426"/>
    <w:rsid w:val="00A26398"/>
    <w:rsid w:val="00A321C8"/>
    <w:rsid w:val="00A3281C"/>
    <w:rsid w:val="00A3351E"/>
    <w:rsid w:val="00A37F27"/>
    <w:rsid w:val="00A405AD"/>
    <w:rsid w:val="00A42557"/>
    <w:rsid w:val="00A42F02"/>
    <w:rsid w:val="00A454A2"/>
    <w:rsid w:val="00A46DD7"/>
    <w:rsid w:val="00A472BF"/>
    <w:rsid w:val="00A52FAB"/>
    <w:rsid w:val="00A5329F"/>
    <w:rsid w:val="00A565AD"/>
    <w:rsid w:val="00A56615"/>
    <w:rsid w:val="00A5661E"/>
    <w:rsid w:val="00A602CF"/>
    <w:rsid w:val="00A606EE"/>
    <w:rsid w:val="00A60785"/>
    <w:rsid w:val="00A61D2F"/>
    <w:rsid w:val="00A62B80"/>
    <w:rsid w:val="00A63401"/>
    <w:rsid w:val="00A741E7"/>
    <w:rsid w:val="00A83218"/>
    <w:rsid w:val="00A83403"/>
    <w:rsid w:val="00A84002"/>
    <w:rsid w:val="00A859ED"/>
    <w:rsid w:val="00A8674A"/>
    <w:rsid w:val="00A86C0D"/>
    <w:rsid w:val="00A9161F"/>
    <w:rsid w:val="00A93306"/>
    <w:rsid w:val="00A95B59"/>
    <w:rsid w:val="00A9627E"/>
    <w:rsid w:val="00AA51E2"/>
    <w:rsid w:val="00AA78B7"/>
    <w:rsid w:val="00AA7CBD"/>
    <w:rsid w:val="00AA7FB3"/>
    <w:rsid w:val="00AB0E45"/>
    <w:rsid w:val="00AB4F54"/>
    <w:rsid w:val="00AB7729"/>
    <w:rsid w:val="00AC2ABE"/>
    <w:rsid w:val="00AC2DFD"/>
    <w:rsid w:val="00AC3289"/>
    <w:rsid w:val="00AC3BFD"/>
    <w:rsid w:val="00AC420B"/>
    <w:rsid w:val="00AC6A94"/>
    <w:rsid w:val="00AC6C9A"/>
    <w:rsid w:val="00AC7102"/>
    <w:rsid w:val="00AC747A"/>
    <w:rsid w:val="00AC7E72"/>
    <w:rsid w:val="00AD0B8A"/>
    <w:rsid w:val="00AD3275"/>
    <w:rsid w:val="00AE1DAA"/>
    <w:rsid w:val="00AE363E"/>
    <w:rsid w:val="00AE3BDB"/>
    <w:rsid w:val="00AE6AD9"/>
    <w:rsid w:val="00AE7C4A"/>
    <w:rsid w:val="00AF0064"/>
    <w:rsid w:val="00AF0935"/>
    <w:rsid w:val="00AF1825"/>
    <w:rsid w:val="00AF25F3"/>
    <w:rsid w:val="00AF5738"/>
    <w:rsid w:val="00AF6192"/>
    <w:rsid w:val="00AF6423"/>
    <w:rsid w:val="00AF72F1"/>
    <w:rsid w:val="00AF7DB4"/>
    <w:rsid w:val="00B005EE"/>
    <w:rsid w:val="00B037CA"/>
    <w:rsid w:val="00B04AFF"/>
    <w:rsid w:val="00B06917"/>
    <w:rsid w:val="00B11905"/>
    <w:rsid w:val="00B11E86"/>
    <w:rsid w:val="00B142A0"/>
    <w:rsid w:val="00B148CD"/>
    <w:rsid w:val="00B162B0"/>
    <w:rsid w:val="00B16F7C"/>
    <w:rsid w:val="00B17D5F"/>
    <w:rsid w:val="00B17E10"/>
    <w:rsid w:val="00B20A0A"/>
    <w:rsid w:val="00B20A8C"/>
    <w:rsid w:val="00B21610"/>
    <w:rsid w:val="00B22238"/>
    <w:rsid w:val="00B22F92"/>
    <w:rsid w:val="00B24D41"/>
    <w:rsid w:val="00B24DBA"/>
    <w:rsid w:val="00B25F16"/>
    <w:rsid w:val="00B26A58"/>
    <w:rsid w:val="00B26ADD"/>
    <w:rsid w:val="00B27DAC"/>
    <w:rsid w:val="00B27FB4"/>
    <w:rsid w:val="00B30962"/>
    <w:rsid w:val="00B322A1"/>
    <w:rsid w:val="00B331D4"/>
    <w:rsid w:val="00B33D2D"/>
    <w:rsid w:val="00B356CD"/>
    <w:rsid w:val="00B360B2"/>
    <w:rsid w:val="00B36488"/>
    <w:rsid w:val="00B3656D"/>
    <w:rsid w:val="00B366D3"/>
    <w:rsid w:val="00B366E6"/>
    <w:rsid w:val="00B370E4"/>
    <w:rsid w:val="00B3794F"/>
    <w:rsid w:val="00B47313"/>
    <w:rsid w:val="00B50459"/>
    <w:rsid w:val="00B50688"/>
    <w:rsid w:val="00B5176A"/>
    <w:rsid w:val="00B51CCE"/>
    <w:rsid w:val="00B53377"/>
    <w:rsid w:val="00B5473B"/>
    <w:rsid w:val="00B5496F"/>
    <w:rsid w:val="00B54A6A"/>
    <w:rsid w:val="00B5550C"/>
    <w:rsid w:val="00B55F90"/>
    <w:rsid w:val="00B569B0"/>
    <w:rsid w:val="00B60BE2"/>
    <w:rsid w:val="00B614AD"/>
    <w:rsid w:val="00B6190D"/>
    <w:rsid w:val="00B6203F"/>
    <w:rsid w:val="00B63174"/>
    <w:rsid w:val="00B639B0"/>
    <w:rsid w:val="00B6697B"/>
    <w:rsid w:val="00B673AD"/>
    <w:rsid w:val="00B67B2B"/>
    <w:rsid w:val="00B67BEF"/>
    <w:rsid w:val="00B82443"/>
    <w:rsid w:val="00B85598"/>
    <w:rsid w:val="00B86FB2"/>
    <w:rsid w:val="00B879B2"/>
    <w:rsid w:val="00B90759"/>
    <w:rsid w:val="00B92FF2"/>
    <w:rsid w:val="00B94CF7"/>
    <w:rsid w:val="00B95B42"/>
    <w:rsid w:val="00B96042"/>
    <w:rsid w:val="00BA048C"/>
    <w:rsid w:val="00BA1515"/>
    <w:rsid w:val="00BA529E"/>
    <w:rsid w:val="00BA5DBF"/>
    <w:rsid w:val="00BA62D6"/>
    <w:rsid w:val="00BA6759"/>
    <w:rsid w:val="00BB2305"/>
    <w:rsid w:val="00BB413C"/>
    <w:rsid w:val="00BB4A5D"/>
    <w:rsid w:val="00BB6381"/>
    <w:rsid w:val="00BB6FE6"/>
    <w:rsid w:val="00BB7F9A"/>
    <w:rsid w:val="00BC060B"/>
    <w:rsid w:val="00BC0DD4"/>
    <w:rsid w:val="00BC34D3"/>
    <w:rsid w:val="00BC383C"/>
    <w:rsid w:val="00BC48D1"/>
    <w:rsid w:val="00BC5FB3"/>
    <w:rsid w:val="00BC605D"/>
    <w:rsid w:val="00BC6306"/>
    <w:rsid w:val="00BC6460"/>
    <w:rsid w:val="00BC6EF1"/>
    <w:rsid w:val="00BD0E1A"/>
    <w:rsid w:val="00BD0FCF"/>
    <w:rsid w:val="00BD4300"/>
    <w:rsid w:val="00BD51DD"/>
    <w:rsid w:val="00BD7052"/>
    <w:rsid w:val="00BD7500"/>
    <w:rsid w:val="00BD7703"/>
    <w:rsid w:val="00BE05C8"/>
    <w:rsid w:val="00BE0D0B"/>
    <w:rsid w:val="00BE11CD"/>
    <w:rsid w:val="00BE2C08"/>
    <w:rsid w:val="00BE53E5"/>
    <w:rsid w:val="00BE6B17"/>
    <w:rsid w:val="00BF2FB6"/>
    <w:rsid w:val="00BF3E58"/>
    <w:rsid w:val="00BF5700"/>
    <w:rsid w:val="00BF5FDD"/>
    <w:rsid w:val="00BF60CA"/>
    <w:rsid w:val="00BF70B7"/>
    <w:rsid w:val="00C0083A"/>
    <w:rsid w:val="00C0169A"/>
    <w:rsid w:val="00C04378"/>
    <w:rsid w:val="00C0528A"/>
    <w:rsid w:val="00C05E8C"/>
    <w:rsid w:val="00C12528"/>
    <w:rsid w:val="00C145E6"/>
    <w:rsid w:val="00C15C4A"/>
    <w:rsid w:val="00C20AE2"/>
    <w:rsid w:val="00C20E83"/>
    <w:rsid w:val="00C23114"/>
    <w:rsid w:val="00C24154"/>
    <w:rsid w:val="00C27B9C"/>
    <w:rsid w:val="00C337ED"/>
    <w:rsid w:val="00C33F56"/>
    <w:rsid w:val="00C351A7"/>
    <w:rsid w:val="00C354D9"/>
    <w:rsid w:val="00C3554A"/>
    <w:rsid w:val="00C36979"/>
    <w:rsid w:val="00C414CD"/>
    <w:rsid w:val="00C440E6"/>
    <w:rsid w:val="00C4532C"/>
    <w:rsid w:val="00C46ABF"/>
    <w:rsid w:val="00C478A8"/>
    <w:rsid w:val="00C55C40"/>
    <w:rsid w:val="00C627BA"/>
    <w:rsid w:val="00C63B9D"/>
    <w:rsid w:val="00C64D7B"/>
    <w:rsid w:val="00C64F0D"/>
    <w:rsid w:val="00C671A6"/>
    <w:rsid w:val="00C72C42"/>
    <w:rsid w:val="00C75B5B"/>
    <w:rsid w:val="00C7767C"/>
    <w:rsid w:val="00C80DC3"/>
    <w:rsid w:val="00C831E3"/>
    <w:rsid w:val="00C8358B"/>
    <w:rsid w:val="00C837DF"/>
    <w:rsid w:val="00C83EC5"/>
    <w:rsid w:val="00C84444"/>
    <w:rsid w:val="00C854F1"/>
    <w:rsid w:val="00C85BC2"/>
    <w:rsid w:val="00C85BE8"/>
    <w:rsid w:val="00C866E0"/>
    <w:rsid w:val="00C87575"/>
    <w:rsid w:val="00C87C21"/>
    <w:rsid w:val="00C87E0D"/>
    <w:rsid w:val="00C9181C"/>
    <w:rsid w:val="00C92333"/>
    <w:rsid w:val="00C938AB"/>
    <w:rsid w:val="00C94AA5"/>
    <w:rsid w:val="00C96C0B"/>
    <w:rsid w:val="00CA060B"/>
    <w:rsid w:val="00CA0DAB"/>
    <w:rsid w:val="00CA2A4A"/>
    <w:rsid w:val="00CA2C56"/>
    <w:rsid w:val="00CA46DE"/>
    <w:rsid w:val="00CA4C23"/>
    <w:rsid w:val="00CA58C0"/>
    <w:rsid w:val="00CB0F1C"/>
    <w:rsid w:val="00CB173A"/>
    <w:rsid w:val="00CB2CEA"/>
    <w:rsid w:val="00CB3D7A"/>
    <w:rsid w:val="00CB593F"/>
    <w:rsid w:val="00CB5B9A"/>
    <w:rsid w:val="00CB676E"/>
    <w:rsid w:val="00CC0363"/>
    <w:rsid w:val="00CC2209"/>
    <w:rsid w:val="00CC2A73"/>
    <w:rsid w:val="00CC617A"/>
    <w:rsid w:val="00CD028E"/>
    <w:rsid w:val="00CD182B"/>
    <w:rsid w:val="00CD2B60"/>
    <w:rsid w:val="00CD4B5F"/>
    <w:rsid w:val="00CE0AEE"/>
    <w:rsid w:val="00CE6783"/>
    <w:rsid w:val="00CF1E01"/>
    <w:rsid w:val="00CF4063"/>
    <w:rsid w:val="00CF5E77"/>
    <w:rsid w:val="00CF6DED"/>
    <w:rsid w:val="00D027A6"/>
    <w:rsid w:val="00D02CCA"/>
    <w:rsid w:val="00D05DB7"/>
    <w:rsid w:val="00D05E25"/>
    <w:rsid w:val="00D06211"/>
    <w:rsid w:val="00D07C84"/>
    <w:rsid w:val="00D07EC4"/>
    <w:rsid w:val="00D107FE"/>
    <w:rsid w:val="00D11641"/>
    <w:rsid w:val="00D17B03"/>
    <w:rsid w:val="00D17B78"/>
    <w:rsid w:val="00D20375"/>
    <w:rsid w:val="00D2155C"/>
    <w:rsid w:val="00D2271A"/>
    <w:rsid w:val="00D22B14"/>
    <w:rsid w:val="00D23395"/>
    <w:rsid w:val="00D24182"/>
    <w:rsid w:val="00D24A6E"/>
    <w:rsid w:val="00D26B7C"/>
    <w:rsid w:val="00D275C1"/>
    <w:rsid w:val="00D3007E"/>
    <w:rsid w:val="00D32FF2"/>
    <w:rsid w:val="00D33304"/>
    <w:rsid w:val="00D33FE1"/>
    <w:rsid w:val="00D34128"/>
    <w:rsid w:val="00D341E2"/>
    <w:rsid w:val="00D36B35"/>
    <w:rsid w:val="00D4077B"/>
    <w:rsid w:val="00D40FB2"/>
    <w:rsid w:val="00D42CC4"/>
    <w:rsid w:val="00D44A8B"/>
    <w:rsid w:val="00D451D1"/>
    <w:rsid w:val="00D460DE"/>
    <w:rsid w:val="00D46E77"/>
    <w:rsid w:val="00D47CB8"/>
    <w:rsid w:val="00D50040"/>
    <w:rsid w:val="00D50830"/>
    <w:rsid w:val="00D508F2"/>
    <w:rsid w:val="00D513A5"/>
    <w:rsid w:val="00D516EE"/>
    <w:rsid w:val="00D57B23"/>
    <w:rsid w:val="00D57DD2"/>
    <w:rsid w:val="00D604C7"/>
    <w:rsid w:val="00D60C6B"/>
    <w:rsid w:val="00D6221D"/>
    <w:rsid w:val="00D63C4C"/>
    <w:rsid w:val="00D65001"/>
    <w:rsid w:val="00D668C0"/>
    <w:rsid w:val="00D70625"/>
    <w:rsid w:val="00D707CD"/>
    <w:rsid w:val="00D70AFE"/>
    <w:rsid w:val="00D7146F"/>
    <w:rsid w:val="00D7159A"/>
    <w:rsid w:val="00D7728F"/>
    <w:rsid w:val="00D77624"/>
    <w:rsid w:val="00D77D4C"/>
    <w:rsid w:val="00D802AC"/>
    <w:rsid w:val="00D80933"/>
    <w:rsid w:val="00D80F36"/>
    <w:rsid w:val="00D81F4E"/>
    <w:rsid w:val="00D82018"/>
    <w:rsid w:val="00D83248"/>
    <w:rsid w:val="00D83257"/>
    <w:rsid w:val="00D835FC"/>
    <w:rsid w:val="00D83DD5"/>
    <w:rsid w:val="00D84204"/>
    <w:rsid w:val="00D844A9"/>
    <w:rsid w:val="00D85C8C"/>
    <w:rsid w:val="00D87981"/>
    <w:rsid w:val="00D9155F"/>
    <w:rsid w:val="00D92C1A"/>
    <w:rsid w:val="00D94F75"/>
    <w:rsid w:val="00D95A48"/>
    <w:rsid w:val="00DA0115"/>
    <w:rsid w:val="00DA611F"/>
    <w:rsid w:val="00DA67E9"/>
    <w:rsid w:val="00DB21FC"/>
    <w:rsid w:val="00DB2886"/>
    <w:rsid w:val="00DB2A38"/>
    <w:rsid w:val="00DB3218"/>
    <w:rsid w:val="00DB44DA"/>
    <w:rsid w:val="00DB601B"/>
    <w:rsid w:val="00DB6368"/>
    <w:rsid w:val="00DB6B78"/>
    <w:rsid w:val="00DC1D8F"/>
    <w:rsid w:val="00DC2539"/>
    <w:rsid w:val="00DC3059"/>
    <w:rsid w:val="00DC63E1"/>
    <w:rsid w:val="00DC7C15"/>
    <w:rsid w:val="00DC7E08"/>
    <w:rsid w:val="00DD3274"/>
    <w:rsid w:val="00DD4EF7"/>
    <w:rsid w:val="00DE1FCB"/>
    <w:rsid w:val="00DE6090"/>
    <w:rsid w:val="00DE6102"/>
    <w:rsid w:val="00DE702B"/>
    <w:rsid w:val="00DE7FB1"/>
    <w:rsid w:val="00DF04CF"/>
    <w:rsid w:val="00DF0AB1"/>
    <w:rsid w:val="00DF14B2"/>
    <w:rsid w:val="00DF4256"/>
    <w:rsid w:val="00DF7164"/>
    <w:rsid w:val="00E00291"/>
    <w:rsid w:val="00E0038D"/>
    <w:rsid w:val="00E0303D"/>
    <w:rsid w:val="00E03C97"/>
    <w:rsid w:val="00E06418"/>
    <w:rsid w:val="00E07EE0"/>
    <w:rsid w:val="00E1035A"/>
    <w:rsid w:val="00E123BA"/>
    <w:rsid w:val="00E12857"/>
    <w:rsid w:val="00E147E8"/>
    <w:rsid w:val="00E1615E"/>
    <w:rsid w:val="00E1655A"/>
    <w:rsid w:val="00E174A9"/>
    <w:rsid w:val="00E17B24"/>
    <w:rsid w:val="00E23115"/>
    <w:rsid w:val="00E23FA1"/>
    <w:rsid w:val="00E24A45"/>
    <w:rsid w:val="00E2504A"/>
    <w:rsid w:val="00E263E8"/>
    <w:rsid w:val="00E26B02"/>
    <w:rsid w:val="00E310ED"/>
    <w:rsid w:val="00E31886"/>
    <w:rsid w:val="00E321C2"/>
    <w:rsid w:val="00E3280B"/>
    <w:rsid w:val="00E33A1B"/>
    <w:rsid w:val="00E33F47"/>
    <w:rsid w:val="00E34688"/>
    <w:rsid w:val="00E37660"/>
    <w:rsid w:val="00E41781"/>
    <w:rsid w:val="00E44C75"/>
    <w:rsid w:val="00E4602F"/>
    <w:rsid w:val="00E47FE1"/>
    <w:rsid w:val="00E54140"/>
    <w:rsid w:val="00E54265"/>
    <w:rsid w:val="00E56A8C"/>
    <w:rsid w:val="00E57AF7"/>
    <w:rsid w:val="00E60267"/>
    <w:rsid w:val="00E61443"/>
    <w:rsid w:val="00E62870"/>
    <w:rsid w:val="00E63412"/>
    <w:rsid w:val="00E66A46"/>
    <w:rsid w:val="00E67DFC"/>
    <w:rsid w:val="00E714F9"/>
    <w:rsid w:val="00E71C57"/>
    <w:rsid w:val="00E71E74"/>
    <w:rsid w:val="00E72397"/>
    <w:rsid w:val="00E728D0"/>
    <w:rsid w:val="00E747E2"/>
    <w:rsid w:val="00E8081C"/>
    <w:rsid w:val="00E80B9D"/>
    <w:rsid w:val="00E81823"/>
    <w:rsid w:val="00E83596"/>
    <w:rsid w:val="00E85E19"/>
    <w:rsid w:val="00E868F9"/>
    <w:rsid w:val="00E90CA4"/>
    <w:rsid w:val="00E91153"/>
    <w:rsid w:val="00E9117D"/>
    <w:rsid w:val="00E934D1"/>
    <w:rsid w:val="00E94AE2"/>
    <w:rsid w:val="00E94BCC"/>
    <w:rsid w:val="00E96E16"/>
    <w:rsid w:val="00EA2BFF"/>
    <w:rsid w:val="00EA4247"/>
    <w:rsid w:val="00EA713D"/>
    <w:rsid w:val="00EB1060"/>
    <w:rsid w:val="00EB22F2"/>
    <w:rsid w:val="00EB23B7"/>
    <w:rsid w:val="00EB4B49"/>
    <w:rsid w:val="00EB4E0D"/>
    <w:rsid w:val="00EB5119"/>
    <w:rsid w:val="00EB53B1"/>
    <w:rsid w:val="00EB610F"/>
    <w:rsid w:val="00EC1430"/>
    <w:rsid w:val="00EC1DFC"/>
    <w:rsid w:val="00EC37DD"/>
    <w:rsid w:val="00EC468B"/>
    <w:rsid w:val="00EC6095"/>
    <w:rsid w:val="00EC676C"/>
    <w:rsid w:val="00ED1411"/>
    <w:rsid w:val="00ED161D"/>
    <w:rsid w:val="00ED18E7"/>
    <w:rsid w:val="00ED34F1"/>
    <w:rsid w:val="00ED5489"/>
    <w:rsid w:val="00ED59AC"/>
    <w:rsid w:val="00ED6255"/>
    <w:rsid w:val="00ED6356"/>
    <w:rsid w:val="00EE0DFB"/>
    <w:rsid w:val="00EE31F0"/>
    <w:rsid w:val="00EE5911"/>
    <w:rsid w:val="00EE5E5F"/>
    <w:rsid w:val="00EE5F0D"/>
    <w:rsid w:val="00EE5FCE"/>
    <w:rsid w:val="00EE70F1"/>
    <w:rsid w:val="00EF1C66"/>
    <w:rsid w:val="00F04476"/>
    <w:rsid w:val="00F04CC3"/>
    <w:rsid w:val="00F06122"/>
    <w:rsid w:val="00F06C66"/>
    <w:rsid w:val="00F10189"/>
    <w:rsid w:val="00F13A5C"/>
    <w:rsid w:val="00F14B3F"/>
    <w:rsid w:val="00F21361"/>
    <w:rsid w:val="00F21D1A"/>
    <w:rsid w:val="00F22374"/>
    <w:rsid w:val="00F22A19"/>
    <w:rsid w:val="00F22D4C"/>
    <w:rsid w:val="00F30652"/>
    <w:rsid w:val="00F3108F"/>
    <w:rsid w:val="00F32931"/>
    <w:rsid w:val="00F331AC"/>
    <w:rsid w:val="00F34033"/>
    <w:rsid w:val="00F349BC"/>
    <w:rsid w:val="00F379FF"/>
    <w:rsid w:val="00F37C2A"/>
    <w:rsid w:val="00F46C6F"/>
    <w:rsid w:val="00F478A7"/>
    <w:rsid w:val="00F51C52"/>
    <w:rsid w:val="00F537FC"/>
    <w:rsid w:val="00F540E5"/>
    <w:rsid w:val="00F54762"/>
    <w:rsid w:val="00F54924"/>
    <w:rsid w:val="00F552C1"/>
    <w:rsid w:val="00F555E5"/>
    <w:rsid w:val="00F61D14"/>
    <w:rsid w:val="00F61E61"/>
    <w:rsid w:val="00F625AA"/>
    <w:rsid w:val="00F63F66"/>
    <w:rsid w:val="00F65582"/>
    <w:rsid w:val="00F676A8"/>
    <w:rsid w:val="00F7139A"/>
    <w:rsid w:val="00F713FF"/>
    <w:rsid w:val="00F717FB"/>
    <w:rsid w:val="00F761A7"/>
    <w:rsid w:val="00F7625A"/>
    <w:rsid w:val="00F763CD"/>
    <w:rsid w:val="00F805BF"/>
    <w:rsid w:val="00F81A23"/>
    <w:rsid w:val="00F8288F"/>
    <w:rsid w:val="00F82BED"/>
    <w:rsid w:val="00F840F3"/>
    <w:rsid w:val="00F87D3C"/>
    <w:rsid w:val="00F924A2"/>
    <w:rsid w:val="00F9251C"/>
    <w:rsid w:val="00F95A3C"/>
    <w:rsid w:val="00F95AF4"/>
    <w:rsid w:val="00F96236"/>
    <w:rsid w:val="00F97100"/>
    <w:rsid w:val="00FA1EF2"/>
    <w:rsid w:val="00FA1FAD"/>
    <w:rsid w:val="00FA2315"/>
    <w:rsid w:val="00FA3DCE"/>
    <w:rsid w:val="00FB0657"/>
    <w:rsid w:val="00FB0D31"/>
    <w:rsid w:val="00FB21F8"/>
    <w:rsid w:val="00FB2899"/>
    <w:rsid w:val="00FB5270"/>
    <w:rsid w:val="00FB5E29"/>
    <w:rsid w:val="00FB7FA3"/>
    <w:rsid w:val="00FC0FBA"/>
    <w:rsid w:val="00FC1040"/>
    <w:rsid w:val="00FC3150"/>
    <w:rsid w:val="00FC3E85"/>
    <w:rsid w:val="00FC3F4F"/>
    <w:rsid w:val="00FC4900"/>
    <w:rsid w:val="00FC4E63"/>
    <w:rsid w:val="00FC5B2A"/>
    <w:rsid w:val="00FD1DBD"/>
    <w:rsid w:val="00FD7B69"/>
    <w:rsid w:val="00FE0514"/>
    <w:rsid w:val="00FE10AD"/>
    <w:rsid w:val="00FE16FF"/>
    <w:rsid w:val="00FE2B78"/>
    <w:rsid w:val="00FE44FD"/>
    <w:rsid w:val="00FE5875"/>
    <w:rsid w:val="00FE79DD"/>
    <w:rsid w:val="00FE7AA5"/>
    <w:rsid w:val="00FE7F34"/>
    <w:rsid w:val="00FF2DC8"/>
    <w:rsid w:val="00FF58BE"/>
    <w:rsid w:val="00FF595A"/>
    <w:rsid w:val="00FF6A48"/>
    <w:rsid w:val="032F080B"/>
    <w:rsid w:val="038A2E5D"/>
    <w:rsid w:val="06023C82"/>
    <w:rsid w:val="07E07FF3"/>
    <w:rsid w:val="080D2DB2"/>
    <w:rsid w:val="08396CD9"/>
    <w:rsid w:val="08C80798"/>
    <w:rsid w:val="094039D5"/>
    <w:rsid w:val="0C2C5A2F"/>
    <w:rsid w:val="0D0C36F0"/>
    <w:rsid w:val="0D183D8B"/>
    <w:rsid w:val="0E512DBD"/>
    <w:rsid w:val="0EE83C31"/>
    <w:rsid w:val="1214169C"/>
    <w:rsid w:val="14B3520E"/>
    <w:rsid w:val="16675FFA"/>
    <w:rsid w:val="1698172B"/>
    <w:rsid w:val="16C7276C"/>
    <w:rsid w:val="17EE5729"/>
    <w:rsid w:val="1824217E"/>
    <w:rsid w:val="183121A5"/>
    <w:rsid w:val="1890336F"/>
    <w:rsid w:val="18917969"/>
    <w:rsid w:val="18AB63FB"/>
    <w:rsid w:val="1A184E60"/>
    <w:rsid w:val="1B1679C8"/>
    <w:rsid w:val="1B1F4965"/>
    <w:rsid w:val="1B451367"/>
    <w:rsid w:val="1BCF30CE"/>
    <w:rsid w:val="1CF04B74"/>
    <w:rsid w:val="1F817731"/>
    <w:rsid w:val="1F8470E2"/>
    <w:rsid w:val="1FDE1A65"/>
    <w:rsid w:val="204B35B8"/>
    <w:rsid w:val="231352C9"/>
    <w:rsid w:val="23DB607F"/>
    <w:rsid w:val="23F37B37"/>
    <w:rsid w:val="25D6149A"/>
    <w:rsid w:val="266B71CA"/>
    <w:rsid w:val="273C335F"/>
    <w:rsid w:val="27E10DFD"/>
    <w:rsid w:val="29830286"/>
    <w:rsid w:val="2BEB2EE6"/>
    <w:rsid w:val="2C2A43C0"/>
    <w:rsid w:val="2D807D94"/>
    <w:rsid w:val="2E146CA2"/>
    <w:rsid w:val="2F987810"/>
    <w:rsid w:val="30A951CC"/>
    <w:rsid w:val="324F7B18"/>
    <w:rsid w:val="3492284C"/>
    <w:rsid w:val="34955738"/>
    <w:rsid w:val="3511718E"/>
    <w:rsid w:val="352A1A42"/>
    <w:rsid w:val="35995CE6"/>
    <w:rsid w:val="35A65B28"/>
    <w:rsid w:val="371051BC"/>
    <w:rsid w:val="388D1D2E"/>
    <w:rsid w:val="38936771"/>
    <w:rsid w:val="39F72DF7"/>
    <w:rsid w:val="3A7C6796"/>
    <w:rsid w:val="3D221ACF"/>
    <w:rsid w:val="3F0842A7"/>
    <w:rsid w:val="3FE61027"/>
    <w:rsid w:val="425C5EED"/>
    <w:rsid w:val="42743CAE"/>
    <w:rsid w:val="430D2AC7"/>
    <w:rsid w:val="43120317"/>
    <w:rsid w:val="44116964"/>
    <w:rsid w:val="44522A26"/>
    <w:rsid w:val="44620CCC"/>
    <w:rsid w:val="45070E33"/>
    <w:rsid w:val="45192483"/>
    <w:rsid w:val="48C540C0"/>
    <w:rsid w:val="49897836"/>
    <w:rsid w:val="499601B7"/>
    <w:rsid w:val="49E30C55"/>
    <w:rsid w:val="4A843BED"/>
    <w:rsid w:val="4AEE505E"/>
    <w:rsid w:val="4B797B0F"/>
    <w:rsid w:val="4C87625C"/>
    <w:rsid w:val="4CF11927"/>
    <w:rsid w:val="4CF37DF9"/>
    <w:rsid w:val="4D471547"/>
    <w:rsid w:val="4D502254"/>
    <w:rsid w:val="4F4E21CD"/>
    <w:rsid w:val="4F740C8D"/>
    <w:rsid w:val="4FFD1BF7"/>
    <w:rsid w:val="50EE51C7"/>
    <w:rsid w:val="50F609D7"/>
    <w:rsid w:val="518E565B"/>
    <w:rsid w:val="51E42EB6"/>
    <w:rsid w:val="52576018"/>
    <w:rsid w:val="540F7A5A"/>
    <w:rsid w:val="55174EF1"/>
    <w:rsid w:val="55BB2665"/>
    <w:rsid w:val="56EC66CD"/>
    <w:rsid w:val="5AF07905"/>
    <w:rsid w:val="5B1939AB"/>
    <w:rsid w:val="5B286E5C"/>
    <w:rsid w:val="5C915D69"/>
    <w:rsid w:val="5D0B727E"/>
    <w:rsid w:val="5D192F00"/>
    <w:rsid w:val="5D346542"/>
    <w:rsid w:val="5D6308EB"/>
    <w:rsid w:val="5DCB1D21"/>
    <w:rsid w:val="5E1819AC"/>
    <w:rsid w:val="5E1E2D2D"/>
    <w:rsid w:val="60DC2FAC"/>
    <w:rsid w:val="61335BCA"/>
    <w:rsid w:val="61734BA9"/>
    <w:rsid w:val="61F77594"/>
    <w:rsid w:val="63FB7CC9"/>
    <w:rsid w:val="659540E1"/>
    <w:rsid w:val="66F16781"/>
    <w:rsid w:val="67533021"/>
    <w:rsid w:val="67BE3E63"/>
    <w:rsid w:val="682F2E13"/>
    <w:rsid w:val="694072CA"/>
    <w:rsid w:val="6AFF3A66"/>
    <w:rsid w:val="6CBE5214"/>
    <w:rsid w:val="6DD662A4"/>
    <w:rsid w:val="6E2A3DA9"/>
    <w:rsid w:val="6E426C72"/>
    <w:rsid w:val="70482EBE"/>
    <w:rsid w:val="70CB24A5"/>
    <w:rsid w:val="73104DE2"/>
    <w:rsid w:val="73A77B49"/>
    <w:rsid w:val="73EE0E3B"/>
    <w:rsid w:val="74287DE1"/>
    <w:rsid w:val="7672364C"/>
    <w:rsid w:val="773B14F3"/>
    <w:rsid w:val="775D1F5A"/>
    <w:rsid w:val="7B7A39D6"/>
    <w:rsid w:val="7BA3037E"/>
    <w:rsid w:val="7DC564ED"/>
    <w:rsid w:val="7F9F6E3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18"/>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9"/>
    <w:qFormat/>
    <w:uiPriority w:val="99"/>
    <w:pPr>
      <w:keepNext/>
      <w:keepLines/>
      <w:spacing w:before="260" w:after="260" w:line="416" w:lineRule="auto"/>
      <w:outlineLvl w:val="1"/>
    </w:pPr>
    <w:rPr>
      <w:rFonts w:ascii="Calibri Light" w:hAnsi="Calibri Light" w:cs="Calibri Light"/>
      <w:b/>
      <w:bCs/>
      <w:sz w:val="32"/>
      <w:szCs w:val="32"/>
    </w:rPr>
  </w:style>
  <w:style w:type="paragraph" w:styleId="4">
    <w:name w:val="heading 3"/>
    <w:basedOn w:val="1"/>
    <w:next w:val="1"/>
    <w:link w:val="20"/>
    <w:qFormat/>
    <w:uiPriority w:val="99"/>
    <w:pPr>
      <w:keepNext/>
      <w:keepLines/>
      <w:spacing w:before="260" w:after="260" w:line="416" w:lineRule="auto"/>
      <w:outlineLvl w:val="2"/>
    </w:pPr>
    <w:rPr>
      <w:b/>
      <w:bCs/>
      <w:sz w:val="32"/>
      <w:szCs w:val="32"/>
    </w:rPr>
  </w:style>
  <w:style w:type="paragraph" w:styleId="5">
    <w:name w:val="heading 4"/>
    <w:basedOn w:val="1"/>
    <w:next w:val="1"/>
    <w:link w:val="21"/>
    <w:qFormat/>
    <w:uiPriority w:val="99"/>
    <w:pPr>
      <w:keepNext/>
      <w:keepLines/>
      <w:spacing w:line="372" w:lineRule="auto"/>
      <w:outlineLvl w:val="3"/>
    </w:pPr>
    <w:rPr>
      <w:rFonts w:ascii="Arial" w:hAnsi="Arial" w:eastAsia="黑体" w:cs="Arial"/>
      <w:b/>
      <w:bCs/>
      <w:kern w:val="0"/>
      <w:sz w:val="28"/>
      <w:szCs w:val="28"/>
    </w:rPr>
  </w:style>
  <w:style w:type="character" w:default="1" w:styleId="16">
    <w:name w:val="Default Paragraph Font"/>
    <w:semiHidden/>
    <w:uiPriority w:val="99"/>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22"/>
    <w:qFormat/>
    <w:uiPriority w:val="99"/>
    <w:pPr>
      <w:spacing w:line="360" w:lineRule="auto"/>
      <w:ind w:firstLine="200" w:firstLineChars="200"/>
    </w:pPr>
    <w:rPr>
      <w:rFonts w:eastAsia="仿宋_GB2312"/>
      <w:sz w:val="36"/>
      <w:szCs w:val="36"/>
    </w:rPr>
  </w:style>
  <w:style w:type="paragraph" w:styleId="7">
    <w:name w:val="toc 3"/>
    <w:basedOn w:val="1"/>
    <w:next w:val="1"/>
    <w:autoRedefine/>
    <w:semiHidden/>
    <w:qFormat/>
    <w:uiPriority w:val="99"/>
    <w:pPr>
      <w:ind w:left="840" w:leftChars="400"/>
    </w:pPr>
  </w:style>
  <w:style w:type="paragraph" w:styleId="8">
    <w:name w:val="Date"/>
    <w:basedOn w:val="1"/>
    <w:next w:val="1"/>
    <w:link w:val="23"/>
    <w:uiPriority w:val="99"/>
    <w:pPr>
      <w:ind w:left="100" w:leftChars="2500"/>
    </w:pPr>
  </w:style>
  <w:style w:type="paragraph" w:styleId="9">
    <w:name w:val="Balloon Text"/>
    <w:basedOn w:val="1"/>
    <w:link w:val="24"/>
    <w:semiHidden/>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sz w:val="18"/>
      <w:szCs w:val="18"/>
    </w:rPr>
  </w:style>
  <w:style w:type="paragraph" w:styleId="11">
    <w:name w:val="header"/>
    <w:basedOn w:val="1"/>
    <w:link w:val="2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12">
    <w:name w:val="toc 1"/>
    <w:basedOn w:val="1"/>
    <w:next w:val="1"/>
    <w:autoRedefine/>
    <w:semiHidden/>
    <w:qFormat/>
    <w:uiPriority w:val="99"/>
  </w:style>
  <w:style w:type="paragraph" w:styleId="13">
    <w:name w:val="toc 2"/>
    <w:basedOn w:val="1"/>
    <w:next w:val="1"/>
    <w:autoRedefine/>
    <w:semiHidden/>
    <w:qFormat/>
    <w:uiPriority w:val="99"/>
    <w:pPr>
      <w:ind w:left="420" w:leftChars="200"/>
    </w:pPr>
  </w:style>
  <w:style w:type="table" w:styleId="15">
    <w:name w:val="Table Grid"/>
    <w:basedOn w:val="14"/>
    <w:qFormat/>
    <w:uiPriority w:val="99"/>
    <w:rPr>
      <w:rFonts w:ascii="Calibri" w:hAnsi="Calibri" w:cs="Calibri"/>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7">
    <w:name w:val="Hyperlink"/>
    <w:basedOn w:val="16"/>
    <w:qFormat/>
    <w:uiPriority w:val="99"/>
    <w:rPr>
      <w:color w:val="auto"/>
      <w:u w:val="single"/>
    </w:rPr>
  </w:style>
  <w:style w:type="character" w:customStyle="1" w:styleId="18">
    <w:name w:val="Heading 1 Char"/>
    <w:basedOn w:val="16"/>
    <w:link w:val="2"/>
    <w:qFormat/>
    <w:locked/>
    <w:uiPriority w:val="99"/>
    <w:rPr>
      <w:b/>
      <w:bCs/>
      <w:kern w:val="44"/>
      <w:sz w:val="44"/>
      <w:szCs w:val="44"/>
    </w:rPr>
  </w:style>
  <w:style w:type="character" w:customStyle="1" w:styleId="19">
    <w:name w:val="Heading 2 Char"/>
    <w:basedOn w:val="16"/>
    <w:link w:val="3"/>
    <w:semiHidden/>
    <w:locked/>
    <w:uiPriority w:val="99"/>
    <w:rPr>
      <w:rFonts w:ascii="Calibri Light" w:hAnsi="Calibri Light" w:eastAsia="宋体" w:cs="Calibri Light"/>
      <w:b/>
      <w:bCs/>
      <w:kern w:val="2"/>
      <w:sz w:val="32"/>
      <w:szCs w:val="32"/>
    </w:rPr>
  </w:style>
  <w:style w:type="character" w:customStyle="1" w:styleId="20">
    <w:name w:val="Heading 3 Char"/>
    <w:basedOn w:val="16"/>
    <w:link w:val="4"/>
    <w:locked/>
    <w:uiPriority w:val="99"/>
    <w:rPr>
      <w:b/>
      <w:bCs/>
      <w:kern w:val="2"/>
      <w:sz w:val="32"/>
      <w:szCs w:val="32"/>
    </w:rPr>
  </w:style>
  <w:style w:type="character" w:customStyle="1" w:styleId="21">
    <w:name w:val="Heading 4 Char"/>
    <w:basedOn w:val="16"/>
    <w:link w:val="5"/>
    <w:locked/>
    <w:uiPriority w:val="99"/>
    <w:rPr>
      <w:rFonts w:ascii="Arial" w:hAnsi="Arial" w:eastAsia="黑体" w:cs="Arial"/>
      <w:b/>
      <w:bCs/>
      <w:sz w:val="28"/>
      <w:szCs w:val="28"/>
    </w:rPr>
  </w:style>
  <w:style w:type="character" w:customStyle="1" w:styleId="22">
    <w:name w:val="Body Text Char"/>
    <w:basedOn w:val="16"/>
    <w:link w:val="6"/>
    <w:qFormat/>
    <w:locked/>
    <w:uiPriority w:val="99"/>
    <w:rPr>
      <w:rFonts w:eastAsia="仿宋_GB2312"/>
      <w:kern w:val="2"/>
      <w:sz w:val="24"/>
      <w:szCs w:val="24"/>
    </w:rPr>
  </w:style>
  <w:style w:type="character" w:customStyle="1" w:styleId="23">
    <w:name w:val="Date Char"/>
    <w:basedOn w:val="16"/>
    <w:link w:val="8"/>
    <w:qFormat/>
    <w:locked/>
    <w:uiPriority w:val="99"/>
    <w:rPr>
      <w:kern w:val="2"/>
      <w:sz w:val="24"/>
      <w:szCs w:val="24"/>
    </w:rPr>
  </w:style>
  <w:style w:type="character" w:customStyle="1" w:styleId="24">
    <w:name w:val="Balloon Text Char"/>
    <w:basedOn w:val="16"/>
    <w:link w:val="9"/>
    <w:semiHidden/>
    <w:qFormat/>
    <w:locked/>
    <w:uiPriority w:val="99"/>
    <w:rPr>
      <w:kern w:val="2"/>
      <w:sz w:val="18"/>
      <w:szCs w:val="18"/>
    </w:rPr>
  </w:style>
  <w:style w:type="character" w:customStyle="1" w:styleId="25">
    <w:name w:val="Footer Char"/>
    <w:basedOn w:val="16"/>
    <w:link w:val="10"/>
    <w:qFormat/>
    <w:locked/>
    <w:uiPriority w:val="99"/>
    <w:rPr>
      <w:kern w:val="2"/>
      <w:sz w:val="24"/>
      <w:szCs w:val="24"/>
    </w:rPr>
  </w:style>
  <w:style w:type="character" w:customStyle="1" w:styleId="26">
    <w:name w:val="Header Char"/>
    <w:basedOn w:val="16"/>
    <w:link w:val="11"/>
    <w:qFormat/>
    <w:locked/>
    <w:uiPriority w:val="99"/>
    <w:rPr>
      <w:kern w:val="2"/>
      <w:sz w:val="24"/>
      <w:szCs w:val="24"/>
    </w:rPr>
  </w:style>
  <w:style w:type="paragraph" w:styleId="27">
    <w:name w:val="List Paragraph"/>
    <w:basedOn w:val="1"/>
    <w:qFormat/>
    <w:uiPriority w:val="99"/>
    <w:pPr>
      <w:ind w:firstLine="420" w:firstLineChars="200"/>
    </w:pPr>
  </w:style>
  <w:style w:type="paragraph" w:customStyle="1" w:styleId="28">
    <w:name w:val="WPSOffice手动目录 1"/>
    <w:qFormat/>
    <w:uiPriority w:val="99"/>
    <w:rPr>
      <w:rFonts w:ascii="Calibri" w:hAnsi="Calibri" w:eastAsia="宋体" w:cs="Calibri"/>
      <w:kern w:val="0"/>
      <w:sz w:val="20"/>
      <w:szCs w:val="20"/>
      <w:lang w:val="en-US" w:eastAsia="zh-CN" w:bidi="ar-SA"/>
    </w:rPr>
  </w:style>
  <w:style w:type="paragraph" w:customStyle="1" w:styleId="29">
    <w:name w:val="WPSOffice手动目录 2"/>
    <w:qFormat/>
    <w:uiPriority w:val="99"/>
    <w:pPr>
      <w:ind w:left="200" w:leftChars="200"/>
    </w:pPr>
    <w:rPr>
      <w:rFonts w:ascii="Calibri" w:hAnsi="Calibri" w:eastAsia="宋体" w:cs="Calibri"/>
      <w:kern w:val="0"/>
      <w:sz w:val="20"/>
      <w:szCs w:val="20"/>
      <w:lang w:val="en-US" w:eastAsia="zh-CN" w:bidi="ar-SA"/>
    </w:rPr>
  </w:style>
  <w:style w:type="paragraph" w:customStyle="1" w:styleId="30">
    <w:name w:val="WPSOffice手动目录 3"/>
    <w:qFormat/>
    <w:uiPriority w:val="99"/>
    <w:pPr>
      <w:ind w:left="400" w:leftChars="400"/>
    </w:pPr>
    <w:rPr>
      <w:rFonts w:ascii="Calibri" w:hAnsi="Calibri" w:eastAsia="宋体" w:cs="Calibri"/>
      <w:kern w:val="0"/>
      <w:sz w:val="20"/>
      <w:szCs w:val="20"/>
      <w:lang w:val="en-US" w:eastAsia="zh-CN" w:bidi="ar-SA"/>
    </w:rPr>
  </w:style>
  <w:style w:type="paragraph" w:customStyle="1" w:styleId="31">
    <w:name w:val="Revision1"/>
    <w:hidden/>
    <w:semiHidden/>
    <w:qFormat/>
    <w:uiPriority w:val="99"/>
    <w:rPr>
      <w:rFonts w:ascii="Calibri" w:hAnsi="Calibri" w:eastAsia="宋体" w:cs="Calibri"/>
      <w:kern w:val="2"/>
      <w:sz w:val="21"/>
      <w:szCs w:val="21"/>
      <w:lang w:val="en-US" w:eastAsia="zh-CN" w:bidi="ar-SA"/>
    </w:rPr>
  </w:style>
  <w:style w:type="paragraph" w:customStyle="1" w:styleId="32">
    <w:name w:val="TOC Heading1"/>
    <w:basedOn w:val="2"/>
    <w:next w:val="1"/>
    <w:qFormat/>
    <w:uiPriority w:val="99"/>
    <w:pPr>
      <w:widowControl/>
      <w:spacing w:before="240" w:after="0" w:line="259" w:lineRule="auto"/>
      <w:jc w:val="left"/>
      <w:outlineLvl w:val="9"/>
    </w:pPr>
    <w:rPr>
      <w:rFonts w:ascii="Calibri Light" w:hAnsi="Calibri Light" w:cs="Calibri Light"/>
      <w:b w:val="0"/>
      <w:bCs w:val="0"/>
      <w:color w:val="2E74B5"/>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DoubleOX</Company>
  <Pages>26</Pages>
  <Words>44</Words>
  <Characters>50</Characters>
  <Lines>0</Lines>
  <Paragraphs>0</Paragraphs>
  <TotalTime>10</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2026-06-12T06:12:00Z</dcterms:created>
  <dc:creator>燕猫</dc:creator>
  <cp:lastModifiedBy>热 ཽ泪盈眶</cp:lastModifiedBy>
  <cp:lastPrinted>2026-06-29T00:17:00Z</cp:lastPrinted>
  <dcterms:modified xsi:type="dcterms:W3CDTF">2026-09-21T08:16:33Z</dcterms:modified>
  <dc:title>绩效评价报告</dc:title>
  <cp:revision>259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F427CD281D0A4C3EAAB005C41CAE38B6_13</vt:lpwstr>
  </property>
  <property fmtid="{D5CDD505-2E9C-101B-9397-08002B2CF9AE}" pid="4" name="KSOTemplateDocerSaveRecord">
    <vt:lpwstr>eyJoZGlkIjoiNjU5ODQ5YjI2MjYxM2VkYTJjNGMyZDEyMzY0OWY1ZTkiLCJ1c2VySWQiOiI2MDI4NTc4MzIifQ==</vt:lpwstr>
  </property>
</Properties>
</file>