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val="en-US" w:eastAsia="zh-CN"/>
        </w:rPr>
        <w:t>2025</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lang w:eastAsia="zh-CN"/>
        </w:rPr>
        <w:t>南京市司法局</w:t>
      </w:r>
    </w:p>
    <w:p>
      <w:pPr>
        <w:spacing w:line="60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部门</w:t>
      </w:r>
      <w:r>
        <w:rPr>
          <w:rFonts w:ascii="Times New Roman" w:hAnsi="Times New Roman" w:eastAsia="方正小标宋简体" w:cs="Times New Roman"/>
          <w:sz w:val="44"/>
          <w:szCs w:val="44"/>
        </w:rPr>
        <w:t>整体绩效评价报告</w:t>
      </w:r>
    </w:p>
    <w:p>
      <w:pPr>
        <w:spacing w:line="600" w:lineRule="exact"/>
        <w:jc w:val="center"/>
        <w:rPr>
          <w:rFonts w:ascii="Times New Roman" w:hAnsi="Times New Roman" w:eastAsia="方正小标宋简体" w:cs="Times New Roman"/>
          <w:sz w:val="44"/>
          <w:szCs w:val="44"/>
        </w:rPr>
      </w:pPr>
    </w:p>
    <w:p>
      <w:pPr>
        <w:adjustRightInd w:val="0"/>
        <w:snapToGrid w:val="0"/>
        <w:spacing w:line="600" w:lineRule="exact"/>
        <w:ind w:firstLine="640" w:firstLineChars="200"/>
        <w:outlineLvl w:val="0"/>
        <w:rPr>
          <w:rFonts w:ascii="Times New Roman" w:hAnsi="Times New Roman" w:eastAsia="方正黑体简体" w:cs="Times New Roman"/>
          <w:bCs/>
          <w:color w:val="000000"/>
          <w:sz w:val="32"/>
          <w:szCs w:val="32"/>
        </w:rPr>
      </w:pPr>
      <w:bookmarkStart w:id="0" w:name="_Toc178059775"/>
      <w:r>
        <w:rPr>
          <w:rFonts w:ascii="Times New Roman" w:hAnsi="Times New Roman" w:eastAsia="方正黑体简体" w:cs="Times New Roman"/>
          <w:bCs/>
          <w:color w:val="000000"/>
          <w:sz w:val="32"/>
          <w:szCs w:val="32"/>
        </w:rPr>
        <w:t>一、部门概况</w:t>
      </w:r>
      <w:bookmarkEnd w:id="0"/>
    </w:p>
    <w:p>
      <w:pPr>
        <w:adjustRightInd w:val="0"/>
        <w:snapToGrid w:val="0"/>
        <w:spacing w:line="600" w:lineRule="exact"/>
        <w:ind w:firstLine="640" w:firstLineChars="200"/>
        <w:outlineLvl w:val="1"/>
        <w:rPr>
          <w:rFonts w:ascii="Times New Roman" w:hAnsi="Times New Roman" w:eastAsia="方正楷体简体" w:cs="Times New Roman"/>
          <w:bCs/>
          <w:color w:val="000000"/>
          <w:sz w:val="32"/>
          <w:szCs w:val="32"/>
        </w:rPr>
      </w:pPr>
      <w:bookmarkStart w:id="1" w:name="_Toc178059776"/>
      <w:r>
        <w:rPr>
          <w:rFonts w:ascii="Times New Roman" w:hAnsi="Times New Roman" w:eastAsia="方正楷体简体" w:cs="Times New Roman"/>
          <w:bCs/>
          <w:color w:val="000000"/>
          <w:sz w:val="32"/>
          <w:szCs w:val="32"/>
        </w:rPr>
        <w:t>（一）部门基本情况</w:t>
      </w:r>
      <w:bookmarkEnd w:id="1"/>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1.部门职能</w:t>
      </w:r>
    </w:p>
    <w:p>
      <w:pPr>
        <w:spacing w:line="600" w:lineRule="exact"/>
        <w:ind w:firstLine="640" w:firstLineChars="200"/>
        <w:rPr>
          <w:rFonts w:hint="eastAsia"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rPr>
        <w:t>（一）承担全面依法治市重大问题的政策研究，协调有关方面提出全面依法治市中长期规划建议，负责有关重大决策部署督查工作。（二）承担统筹规划立法工作的责任。协调有关方面提出立法规划和年度立法工作计划的建议，负责跟踪了解各部门对立法工作计划的落实情况，加强组织协调和督促指导，研究提出立法与改革决策相衔接的意见、措施。负责面向社会征集市级地方性法规、市政府规章制定项目建议。（三）负责起草或组织起草有关市级地方性法规、市政府规章草案。承担审查修改、协调论证市级部门和区政府报送市政府的地方性法规、规章草案的责任。承办相关法律、法规和规章草案的征求意见工作。负责立法协调工作。（四）承办市政府规章的解释、立法后评估、备案工作。负责协调各区各部门实施法律、法规、规章中的有关争议和问题。承办市政府规章清理、编纂工作，组织翻译、审定市政府规章外文正式译本。承办区政府以及市级部门规范性文件的备案审查工作。负责有关市政府规范性文件或拟由市政府批准的市级部门规范性文件的合法性审查和清理工作。（五）承担统筹推进法治政府建设的责任。指导、监督市政府各部门、区级以下各级人民政府依法行政工作。负责综合协调行政执法，承担推进行政执法体制改革有关工作，推进严格规范公正文明执法。承担市政府的行政复议、行政应诉、行政赔偿工作。指导监督全市行政复议、行政应诉和行政赔偿工作，负责办理行政复议和行政应诉案件。（六）承担统筹规划法治社会建设的责任。负责拟订法治宣传教育规划，组织实施普法宣传工作，组织对外法治宣传。指导依法治理和法治创建工作。指导调解工作和人民陪审员、人民监督员选任管理工作，推进司法所建设。（七）指导、管理社区矫正工作。指导刑满释放人员帮教安置工作。（八）负责本系统戒毒管理工作。指导、监督本系统强制隔离戒毒执行和戒毒康复工作。对社区戒毒和社区康复工作提供指导、支持和协助。（九）负责拟订公共法律服务体系建设规划并指导实施，统筹和布局城乡、区域法律服务资源。指导监督全市律师、法律援助、司法鉴定、公证和基层法律服务管理工作。指导协调全市 12348 法律服务工作。指导监督全市公职律师、公司律师工作。承担市政府法律顾问职责。按照“放管服”改革要求，承担律师、公证、司法鉴定、基层法律服务等行政审批服务事项，深入推进简政放权，强化事中事后监管，实现“一窗受理”“一网通办”，全面提升审批服务便民化水平，不断优化营商环境。（十）负责国家统一法律职业资格考试南京考区的组织实施工作。负责全市国家统一法律职业资格和证书管理工作。负责规划和指导法律职业人员入职前培训工作。（十一）指导本系统对外交流合作，承办司法行政涉港澳台法律事务。（十二）负责本系统服装和警车管理工作，指导监督本系统财务、装备、设施、场所等保障工作。负责本系统的内部审计工作。指导本系统的信息化建设。（十三）规划、协调、指导全市法治人才队伍建设相关工作，指导、监督本系统队伍建设，管理直属强制隔离戒毒单位领导班子，协助各区管理司法局领导干部。负责本系统警务管理和警务督察工作。（十四）完成市委、市政府交办的其他任务。</w:t>
      </w:r>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2.机构设置</w:t>
      </w:r>
    </w:p>
    <w:p>
      <w:pPr>
        <w:spacing w:line="60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lang w:eastAsia="zh-CN"/>
        </w:rPr>
        <w:t>南京</w:t>
      </w:r>
      <w:r>
        <w:rPr>
          <w:rFonts w:hint="eastAsia" w:ascii="Times New Roman" w:hAnsi="Times New Roman" w:eastAsia="仿宋_GB2312" w:cs="Times New Roman"/>
          <w:bCs/>
          <w:color w:val="000000"/>
          <w:sz w:val="32"/>
          <w:szCs w:val="32"/>
        </w:rPr>
        <w:t>市司法局</w:t>
      </w:r>
      <w:r>
        <w:rPr>
          <w:rFonts w:ascii="Times New Roman" w:hAnsi="Times New Roman" w:eastAsia="仿宋_GB2312" w:cs="Times New Roman"/>
          <w:bCs/>
          <w:color w:val="000000"/>
          <w:sz w:val="32"/>
          <w:szCs w:val="32"/>
        </w:rPr>
        <w:t>内设机构</w:t>
      </w:r>
      <w:r>
        <w:rPr>
          <w:rFonts w:hint="eastAsia" w:ascii="Times New Roman" w:hAnsi="Times New Roman" w:eastAsia="仿宋_GB2312" w:cs="Times New Roman"/>
          <w:bCs/>
          <w:color w:val="000000"/>
          <w:sz w:val="32"/>
          <w:szCs w:val="32"/>
          <w:lang w:val="en-US" w:eastAsia="zh-CN"/>
        </w:rPr>
        <w:t>23个，分别是</w:t>
      </w:r>
      <w:r>
        <w:rPr>
          <w:rFonts w:hint="eastAsia" w:ascii="Times New Roman" w:hAnsi="Times New Roman" w:eastAsia="仿宋_GB2312" w:cs="Times New Roman"/>
          <w:bCs/>
          <w:color w:val="000000"/>
          <w:sz w:val="32"/>
          <w:szCs w:val="32"/>
        </w:rPr>
        <w:t>依法治市办秘书处、办公室、法治指导处、法治督察处、法治宣传处、立法处、文件审查处、行政复议</w:t>
      </w:r>
      <w:r>
        <w:rPr>
          <w:rFonts w:hint="eastAsia" w:ascii="Times New Roman" w:hAnsi="Times New Roman" w:eastAsia="仿宋_GB2312" w:cs="Times New Roman"/>
          <w:bCs/>
          <w:color w:val="000000"/>
          <w:sz w:val="32"/>
          <w:szCs w:val="32"/>
          <w:lang w:val="en-US" w:eastAsia="zh-CN"/>
        </w:rPr>
        <w:t>一</w:t>
      </w:r>
      <w:r>
        <w:rPr>
          <w:rFonts w:hint="eastAsia" w:ascii="Times New Roman" w:hAnsi="Times New Roman" w:eastAsia="仿宋_GB2312" w:cs="Times New Roman"/>
          <w:bCs/>
          <w:color w:val="000000"/>
          <w:sz w:val="32"/>
          <w:szCs w:val="32"/>
        </w:rPr>
        <w:t>处、行政复议</w:t>
      </w:r>
      <w:r>
        <w:rPr>
          <w:rFonts w:hint="eastAsia" w:ascii="Times New Roman" w:hAnsi="Times New Roman" w:eastAsia="仿宋_GB2312" w:cs="Times New Roman"/>
          <w:bCs/>
          <w:color w:val="000000"/>
          <w:sz w:val="32"/>
          <w:szCs w:val="32"/>
          <w:lang w:val="en-US" w:eastAsia="zh-CN"/>
        </w:rPr>
        <w:t>二</w:t>
      </w:r>
      <w:r>
        <w:rPr>
          <w:rFonts w:hint="eastAsia" w:ascii="Times New Roman" w:hAnsi="Times New Roman" w:eastAsia="仿宋_GB2312" w:cs="Times New Roman"/>
          <w:bCs/>
          <w:color w:val="000000"/>
          <w:sz w:val="32"/>
          <w:szCs w:val="32"/>
        </w:rPr>
        <w:t>处</w:t>
      </w:r>
      <w:r>
        <w:rPr>
          <w:rFonts w:hint="eastAsia" w:ascii="Times New Roman" w:hAnsi="Times New Roman" w:eastAsia="仿宋_GB2312" w:cs="Times New Roman"/>
          <w:bCs/>
          <w:color w:val="000000"/>
          <w:sz w:val="32"/>
          <w:szCs w:val="32"/>
          <w:lang w:eastAsia="zh-CN"/>
        </w:rPr>
        <w:t>、</w:t>
      </w:r>
      <w:r>
        <w:rPr>
          <w:rFonts w:hint="eastAsia" w:ascii="Times New Roman" w:hAnsi="Times New Roman" w:eastAsia="仿宋_GB2312" w:cs="Times New Roman"/>
          <w:bCs/>
          <w:color w:val="000000"/>
          <w:sz w:val="32"/>
          <w:szCs w:val="32"/>
        </w:rPr>
        <w:t>行政应诉处、戒毒管理处、社区矫正管理局（社区矫正管理支队）、人民参与和促进法治处（医患纠纷人民调解指导处）、律师工作处、公证管理处、司法鉴定管理处、法律援助管理处、法律事务处、行政审批服务处（法律职业资格管理处）、装备财务保障处、人事警务处、机关党委、离退休干部处等。</w:t>
      </w:r>
      <w:r>
        <w:rPr>
          <w:rFonts w:ascii="Times New Roman" w:hAnsi="Times New Roman" w:eastAsia="仿宋_GB2312" w:cs="Times New Roman"/>
          <w:bCs/>
          <w:color w:val="000000"/>
          <w:sz w:val="32"/>
          <w:szCs w:val="32"/>
        </w:rPr>
        <w:t>下设</w:t>
      </w:r>
      <w:r>
        <w:rPr>
          <w:rFonts w:hint="eastAsia" w:ascii="方正仿宋_GBK" w:hAnsi="Calibri" w:eastAsia="方正仿宋_GBK"/>
          <w:sz w:val="32"/>
          <w:szCs w:val="32"/>
        </w:rPr>
        <w:t>一个南京市法律援助中心为事业单位，经费由财政全额拨款，为独立核算单位；一个大连山强制隔离戒毒所为行政单位，经费由财政全额拨款，为独立核算单位。</w:t>
      </w:r>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3.人员配置</w:t>
      </w:r>
    </w:p>
    <w:p>
      <w:pPr>
        <w:spacing w:line="600" w:lineRule="exact"/>
        <w:ind w:firstLine="640" w:firstLineChars="200"/>
        <w:rPr>
          <w:rFonts w:hint="eastAsia" w:ascii="仿宋_GB2312" w:hAnsi="仿宋_GB2312" w:eastAsia="仿宋_GB2312" w:cs="仿宋_GB2312"/>
          <w:color w:val="auto"/>
          <w:sz w:val="32"/>
          <w:szCs w:val="32"/>
        </w:rPr>
      </w:pPr>
      <w:r>
        <w:rPr>
          <w:rFonts w:ascii="Times New Roman" w:hAnsi="Times New Roman" w:eastAsia="仿宋_GB2312" w:cs="Times New Roman"/>
          <w:bCs/>
          <w:color w:val="000000"/>
          <w:sz w:val="32"/>
          <w:szCs w:val="32"/>
        </w:rPr>
        <w:t>2025年，</w:t>
      </w:r>
      <w:r>
        <w:rPr>
          <w:rFonts w:hint="eastAsia" w:ascii="仿宋_GB2312" w:hAnsi="仿宋_GB2312" w:eastAsia="仿宋_GB2312" w:cs="仿宋_GB2312"/>
          <w:color w:val="auto"/>
          <w:sz w:val="32"/>
          <w:szCs w:val="32"/>
        </w:rPr>
        <w:t>南京市司法局行政编制</w:t>
      </w:r>
      <w:r>
        <w:rPr>
          <w:rFonts w:hint="eastAsia" w:ascii="仿宋_GB2312" w:hAnsi="仿宋_GB2312" w:eastAsia="仿宋_GB2312" w:cs="仿宋_GB2312"/>
          <w:color w:val="auto"/>
          <w:sz w:val="32"/>
          <w:szCs w:val="32"/>
          <w:lang w:val="en-US" w:eastAsia="zh-CN"/>
        </w:rPr>
        <w:t>305</w:t>
      </w:r>
      <w:r>
        <w:rPr>
          <w:rFonts w:hint="eastAsia" w:ascii="仿宋_GB2312" w:hAnsi="仿宋_GB2312" w:eastAsia="仿宋_GB2312" w:cs="仿宋_GB2312"/>
          <w:color w:val="auto"/>
          <w:sz w:val="32"/>
          <w:szCs w:val="32"/>
        </w:rPr>
        <w:t>人，其中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司法局机关</w:t>
      </w:r>
      <w:r>
        <w:rPr>
          <w:rFonts w:hint="eastAsia" w:ascii="仿宋_GB2312" w:hAnsi="仿宋_GB2312" w:eastAsia="仿宋_GB2312" w:cs="仿宋_GB2312"/>
          <w:color w:val="auto"/>
          <w:sz w:val="32"/>
          <w:szCs w:val="32"/>
          <w:lang w:val="en-US" w:eastAsia="zh-CN"/>
        </w:rPr>
        <w:t>120</w:t>
      </w:r>
      <w:r>
        <w:rPr>
          <w:rFonts w:hint="eastAsia" w:ascii="仿宋_GB2312" w:hAnsi="仿宋_GB2312" w:eastAsia="仿宋_GB2312" w:cs="仿宋_GB2312"/>
          <w:color w:val="auto"/>
          <w:sz w:val="32"/>
          <w:szCs w:val="32"/>
        </w:rPr>
        <w:t>人，大连山戒毒所185人；行政附属编制</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人，其中司法局机关</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人，大连山戒毒所</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人；事业编制15人。</w:t>
      </w:r>
    </w:p>
    <w:p>
      <w:pPr>
        <w:keepNext w:val="0"/>
        <w:keepLines w:val="0"/>
        <w:pageBreakBefore w:val="0"/>
        <w:widowControl w:val="0"/>
        <w:kinsoku/>
        <w:wordWrap/>
        <w:overflowPunct/>
        <w:topLinePunct w:val="0"/>
        <w:autoSpaceDE/>
        <w:autoSpaceDN/>
        <w:bidi w:val="0"/>
        <w:spacing w:line="560" w:lineRule="exact"/>
        <w:ind w:firstLine="672" w:firstLineChars="210"/>
        <w:textAlignment w:val="auto"/>
        <w:rPr>
          <w:rFonts w:hint="eastAsia" w:ascii="仿宋_GB2312" w:hAnsi="仿宋_GB2312" w:eastAsia="仿宋_GB2312" w:cs="仿宋_GB2312"/>
          <w:color w:val="auto"/>
          <w:sz w:val="32"/>
          <w:szCs w:val="32"/>
        </w:rPr>
      </w:pPr>
      <w:r>
        <w:rPr>
          <w:rFonts w:ascii="Times New Roman" w:hAnsi="Times New Roman" w:eastAsia="仿宋_GB2312" w:cs="Times New Roman"/>
          <w:bCs/>
          <w:color w:val="000000"/>
          <w:sz w:val="32"/>
          <w:szCs w:val="32"/>
        </w:rPr>
        <w:t>截止2025年12月，南京市</w:t>
      </w:r>
      <w:r>
        <w:rPr>
          <w:rFonts w:hint="eastAsia" w:ascii="Times New Roman" w:hAnsi="Times New Roman" w:eastAsia="仿宋_GB2312" w:cs="Times New Roman"/>
          <w:bCs/>
          <w:color w:val="000000"/>
          <w:sz w:val="32"/>
          <w:szCs w:val="32"/>
          <w:lang w:eastAsia="zh-CN"/>
        </w:rPr>
        <w:t>司法</w:t>
      </w:r>
      <w:r>
        <w:rPr>
          <w:rFonts w:ascii="Times New Roman" w:hAnsi="Times New Roman" w:eastAsia="仿宋_GB2312" w:cs="Times New Roman"/>
          <w:bCs/>
          <w:color w:val="000000"/>
          <w:sz w:val="32"/>
          <w:szCs w:val="32"/>
        </w:rPr>
        <w:t>局</w:t>
      </w:r>
      <w:r>
        <w:rPr>
          <w:rFonts w:hint="eastAsia" w:ascii="仿宋_GB2312" w:hAnsi="仿宋_GB2312" w:eastAsia="仿宋_GB2312" w:cs="仿宋_GB2312"/>
          <w:color w:val="auto"/>
          <w:sz w:val="32"/>
          <w:szCs w:val="32"/>
        </w:rPr>
        <w:t>在职实有</w:t>
      </w:r>
      <w:r>
        <w:rPr>
          <w:rFonts w:hint="eastAsia" w:ascii="仿宋_GB2312" w:hAnsi="仿宋_GB2312" w:eastAsia="仿宋_GB2312" w:cs="仿宋_GB2312"/>
          <w:color w:val="auto"/>
          <w:sz w:val="32"/>
          <w:szCs w:val="32"/>
          <w:lang w:val="en-US" w:eastAsia="zh-CN"/>
        </w:rPr>
        <w:t>379</w:t>
      </w:r>
      <w:r>
        <w:rPr>
          <w:rFonts w:hint="eastAsia" w:ascii="仿宋_GB2312" w:hAnsi="仿宋_GB2312" w:eastAsia="仿宋_GB2312" w:cs="仿宋_GB2312"/>
          <w:color w:val="auto"/>
          <w:sz w:val="32"/>
          <w:szCs w:val="32"/>
        </w:rPr>
        <w:t>人，离退休</w:t>
      </w:r>
      <w:r>
        <w:rPr>
          <w:rFonts w:hint="eastAsia" w:ascii="仿宋_GB2312" w:hAnsi="仿宋_GB2312" w:eastAsia="仿宋_GB2312" w:cs="仿宋_GB2312"/>
          <w:color w:val="auto"/>
          <w:sz w:val="32"/>
          <w:szCs w:val="32"/>
          <w:lang w:val="en-US" w:eastAsia="zh-CN"/>
        </w:rPr>
        <w:t>160</w:t>
      </w:r>
      <w:r>
        <w:rPr>
          <w:rFonts w:hint="eastAsia" w:ascii="仿宋_GB2312" w:hAnsi="仿宋_GB2312" w:eastAsia="仿宋_GB2312" w:cs="仿宋_GB2312"/>
          <w:color w:val="auto"/>
          <w:sz w:val="32"/>
          <w:szCs w:val="32"/>
        </w:rPr>
        <w:t>人。其中，市司法局机关：实有在职行政人员</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行政附属人员</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核定审批辅助人员</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离休人员</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退休人员</w:t>
      </w:r>
      <w:r>
        <w:rPr>
          <w:rFonts w:hint="eastAsia" w:ascii="仿宋_GB2312" w:hAnsi="仿宋_GB2312" w:eastAsia="仿宋_GB2312" w:cs="仿宋_GB2312"/>
          <w:color w:val="auto"/>
          <w:sz w:val="32"/>
          <w:szCs w:val="32"/>
          <w:lang w:val="en-US" w:eastAsia="zh-CN"/>
        </w:rPr>
        <w:t>106</w:t>
      </w:r>
      <w:r>
        <w:rPr>
          <w:rFonts w:hint="eastAsia" w:ascii="仿宋_GB2312" w:hAnsi="仿宋_GB2312" w:eastAsia="仿宋_GB2312" w:cs="仿宋_GB2312"/>
          <w:color w:val="auto"/>
          <w:sz w:val="32"/>
          <w:szCs w:val="32"/>
        </w:rPr>
        <w:t>人；大连山强制隔离戒毒所：实有在职行政人员</w:t>
      </w:r>
      <w:r>
        <w:rPr>
          <w:rFonts w:hint="eastAsia" w:ascii="仿宋_GB2312" w:hAnsi="仿宋_GB2312" w:eastAsia="仿宋_GB2312" w:cs="仿宋_GB2312"/>
          <w:color w:val="auto"/>
          <w:sz w:val="32"/>
          <w:szCs w:val="32"/>
          <w:lang w:val="en-US" w:eastAsia="zh-CN"/>
        </w:rPr>
        <w:t>170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行政附属人员</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核定审批辅助人员</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退休人员</w:t>
      </w:r>
      <w:r>
        <w:rPr>
          <w:rFonts w:hint="eastAsia" w:ascii="仿宋_GB2312" w:hAnsi="仿宋_GB2312" w:eastAsia="仿宋_GB2312" w:cs="仿宋_GB2312"/>
          <w:color w:val="auto"/>
          <w:sz w:val="32"/>
          <w:szCs w:val="32"/>
          <w:lang w:val="en-US" w:eastAsia="zh-CN"/>
        </w:rPr>
        <w:t>51</w:t>
      </w:r>
      <w:r>
        <w:rPr>
          <w:rFonts w:hint="eastAsia" w:ascii="仿宋_GB2312" w:hAnsi="仿宋_GB2312" w:eastAsia="仿宋_GB2312" w:cs="仿宋_GB2312"/>
          <w:color w:val="auto"/>
          <w:sz w:val="32"/>
          <w:szCs w:val="32"/>
        </w:rPr>
        <w:t>人；南京市法律援助中心：实有在职事业人员</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人。</w:t>
      </w:r>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4.部门资产</w:t>
      </w:r>
    </w:p>
    <w:p>
      <w:pPr>
        <w:keepNext w:val="0"/>
        <w:keepLines w:val="0"/>
        <w:pageBreakBefore w:val="0"/>
        <w:widowControl w:val="0"/>
        <w:kinsoku/>
        <w:wordWrap/>
        <w:overflowPunct/>
        <w:topLinePunct w:val="0"/>
        <w:autoSpaceDE/>
        <w:autoSpaceDN/>
        <w:bidi w:val="0"/>
        <w:spacing w:line="560" w:lineRule="exact"/>
        <w:ind w:firstLine="672" w:firstLineChars="210"/>
        <w:textAlignment w:val="auto"/>
        <w:rPr>
          <w:rFonts w:hint="default" w:ascii="仿宋_GB2312" w:hAnsi="仿宋_GB2312" w:eastAsia="仿宋_GB2312" w:cs="仿宋_GB2312"/>
          <w:color w:val="auto"/>
          <w:sz w:val="32"/>
          <w:szCs w:val="32"/>
          <w:lang w:val="en-US" w:eastAsia="zh-CN"/>
        </w:rPr>
      </w:pPr>
      <w:bookmarkStart w:id="2" w:name="_Toc178059777"/>
      <w:r>
        <w:rPr>
          <w:rFonts w:hint="eastAsia" w:ascii="仿宋_GB2312" w:hAnsi="仿宋_GB2312" w:eastAsia="仿宋_GB2312" w:cs="仿宋_GB2312"/>
          <w:color w:val="auto"/>
          <w:sz w:val="32"/>
          <w:szCs w:val="32"/>
          <w:lang w:val="en-US" w:eastAsia="zh-CN"/>
        </w:rPr>
        <w:t>2025年市司法局固定资产净值为242.37万元 ，其中土地、房屋及构筑物0万元，占0%；设备198.18万元,占81.77% ;家具和用具59.73万元，占18.23%。无形资产净值为44.19万元，其中计算机软件44.19万元，占100%。银行存款为142.91万元。</w:t>
      </w:r>
    </w:p>
    <w:p>
      <w:pPr>
        <w:adjustRightInd w:val="0"/>
        <w:snapToGrid w:val="0"/>
        <w:spacing w:line="600" w:lineRule="exact"/>
        <w:ind w:firstLine="640" w:firstLineChars="200"/>
        <w:outlineLvl w:val="1"/>
        <w:rPr>
          <w:rFonts w:ascii="Times New Roman" w:hAnsi="Times New Roman" w:eastAsia="方正楷体简体" w:cs="Times New Roman"/>
          <w:bCs/>
          <w:color w:val="000000"/>
          <w:sz w:val="32"/>
          <w:szCs w:val="32"/>
        </w:rPr>
      </w:pPr>
      <w:r>
        <w:rPr>
          <w:rFonts w:ascii="Times New Roman" w:hAnsi="Times New Roman" w:eastAsia="方正楷体简体" w:cs="Times New Roman"/>
          <w:bCs/>
          <w:color w:val="000000"/>
          <w:sz w:val="32"/>
          <w:szCs w:val="32"/>
        </w:rPr>
        <w:t>（二）</w:t>
      </w:r>
      <w:r>
        <w:rPr>
          <w:rFonts w:hint="eastAsia" w:ascii="Times New Roman" w:hAnsi="Times New Roman" w:eastAsia="方正楷体简体" w:cs="Times New Roman"/>
          <w:bCs/>
          <w:color w:val="000000"/>
          <w:sz w:val="32"/>
          <w:szCs w:val="32"/>
          <w:lang w:val="en-US" w:eastAsia="zh-CN"/>
        </w:rPr>
        <w:t>单位</w:t>
      </w:r>
      <w:r>
        <w:rPr>
          <w:rFonts w:ascii="Times New Roman" w:hAnsi="Times New Roman" w:eastAsia="方正楷体简体" w:cs="Times New Roman"/>
          <w:bCs/>
          <w:color w:val="000000"/>
          <w:sz w:val="32"/>
          <w:szCs w:val="32"/>
        </w:rPr>
        <w:t>资金情况</w:t>
      </w:r>
      <w:bookmarkEnd w:id="2"/>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1.</w:t>
      </w:r>
      <w:r>
        <w:rPr>
          <w:rFonts w:hint="eastAsia" w:ascii="Times New Roman" w:hAnsi="Times New Roman" w:eastAsia="仿宋_GB2312" w:cs="Times New Roman"/>
          <w:bCs/>
          <w:color w:val="000000"/>
          <w:sz w:val="32"/>
          <w:szCs w:val="32"/>
          <w:lang w:val="en-US" w:eastAsia="zh-CN"/>
        </w:rPr>
        <w:t>单位</w:t>
      </w:r>
      <w:r>
        <w:rPr>
          <w:rFonts w:ascii="Times New Roman" w:hAnsi="Times New Roman" w:eastAsia="仿宋_GB2312" w:cs="Times New Roman"/>
          <w:bCs/>
          <w:color w:val="000000"/>
          <w:sz w:val="32"/>
          <w:szCs w:val="32"/>
        </w:rPr>
        <w:t>收支情况</w:t>
      </w:r>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南京市</w:t>
      </w:r>
      <w:r>
        <w:rPr>
          <w:rFonts w:hint="eastAsia" w:ascii="Times New Roman" w:hAnsi="Times New Roman" w:eastAsia="仿宋_GB2312" w:cs="Times New Roman"/>
          <w:bCs/>
          <w:color w:val="000000"/>
          <w:sz w:val="32"/>
          <w:szCs w:val="32"/>
          <w:lang w:val="en-US" w:eastAsia="zh-CN"/>
        </w:rPr>
        <w:t>司法局</w:t>
      </w:r>
      <w:r>
        <w:rPr>
          <w:rFonts w:ascii="Times New Roman" w:hAnsi="Times New Roman" w:eastAsia="仿宋_GB2312" w:cs="Times New Roman"/>
          <w:bCs/>
          <w:color w:val="000000"/>
          <w:sz w:val="32"/>
          <w:szCs w:val="32"/>
        </w:rPr>
        <w:t>2025年预算安</w:t>
      </w:r>
      <w:r>
        <w:rPr>
          <w:rFonts w:hint="eastAsia" w:ascii="Times New Roman" w:hAnsi="Times New Roman" w:eastAsia="仿宋_GB2312" w:cs="Times New Roman"/>
          <w:bCs/>
          <w:color w:val="000000"/>
          <w:sz w:val="32"/>
          <w:szCs w:val="32"/>
          <w:lang w:val="en-US" w:eastAsia="zh-CN"/>
        </w:rPr>
        <w:t>排</w:t>
      </w:r>
      <w:r>
        <w:rPr>
          <w:rFonts w:ascii="Times New Roman" w:hAnsi="Times New Roman" w:eastAsia="仿宋_GB2312" w:cs="Times New Roman"/>
          <w:bCs/>
          <w:color w:val="000000"/>
          <w:sz w:val="32"/>
          <w:szCs w:val="32"/>
        </w:rPr>
        <w:t>7494.1</w:t>
      </w:r>
      <w:r>
        <w:rPr>
          <w:rFonts w:hint="eastAsia" w:ascii="Times New Roman" w:hAnsi="Times New Roman" w:eastAsia="仿宋_GB2312" w:cs="Times New Roman"/>
          <w:bCs/>
          <w:color w:val="000000"/>
          <w:sz w:val="32"/>
          <w:szCs w:val="32"/>
          <w:lang w:val="en-US" w:eastAsia="zh-CN"/>
        </w:rPr>
        <w:t>万元</w:t>
      </w:r>
      <w:r>
        <w:rPr>
          <w:rFonts w:ascii="Times New Roman" w:hAnsi="Times New Roman" w:eastAsia="仿宋_GB2312" w:cs="Times New Roman"/>
          <w:bCs/>
          <w:color w:val="000000"/>
          <w:sz w:val="32"/>
          <w:szCs w:val="32"/>
        </w:rPr>
        <w:t>，其中：基本支出6601.1万元，项目支出893万元。调整后预算</w:t>
      </w:r>
      <w:r>
        <w:rPr>
          <w:rFonts w:hint="eastAsia" w:ascii="Times New Roman" w:hAnsi="Times New Roman" w:eastAsia="仿宋_GB2312" w:cs="Times New Roman"/>
          <w:bCs/>
          <w:color w:val="000000"/>
          <w:sz w:val="32"/>
          <w:szCs w:val="32"/>
          <w:lang w:val="en-US" w:eastAsia="zh-CN"/>
        </w:rPr>
        <w:t>8408.44</w:t>
      </w:r>
      <w:r>
        <w:rPr>
          <w:rFonts w:ascii="Times New Roman" w:hAnsi="Times New Roman" w:eastAsia="仿宋_GB2312" w:cs="Times New Roman"/>
          <w:bCs/>
          <w:color w:val="000000"/>
          <w:sz w:val="32"/>
          <w:szCs w:val="32"/>
        </w:rPr>
        <w:t>万元，其中：基本支出</w:t>
      </w:r>
      <w:r>
        <w:rPr>
          <w:rFonts w:hint="eastAsia" w:ascii="Times New Roman" w:hAnsi="Times New Roman" w:eastAsia="仿宋_GB2312" w:cs="Times New Roman"/>
          <w:bCs/>
          <w:color w:val="000000"/>
          <w:sz w:val="32"/>
          <w:szCs w:val="32"/>
          <w:lang w:val="en-US" w:eastAsia="zh-CN"/>
        </w:rPr>
        <w:t>7300.86</w:t>
      </w:r>
      <w:r>
        <w:rPr>
          <w:rFonts w:ascii="Times New Roman" w:hAnsi="Times New Roman" w:eastAsia="仿宋_GB2312" w:cs="Times New Roman"/>
          <w:bCs/>
          <w:color w:val="000000"/>
          <w:sz w:val="32"/>
          <w:szCs w:val="32"/>
        </w:rPr>
        <w:t>万元，调增</w:t>
      </w:r>
      <w:r>
        <w:rPr>
          <w:rFonts w:hint="eastAsia" w:ascii="Times New Roman" w:hAnsi="Times New Roman" w:eastAsia="仿宋_GB2312" w:cs="Times New Roman"/>
          <w:bCs/>
          <w:color w:val="000000"/>
          <w:sz w:val="32"/>
          <w:szCs w:val="32"/>
          <w:lang w:val="en-US" w:eastAsia="zh-CN"/>
        </w:rPr>
        <w:t>699.76</w:t>
      </w:r>
      <w:r>
        <w:rPr>
          <w:rFonts w:ascii="Times New Roman" w:hAnsi="Times New Roman" w:eastAsia="仿宋_GB2312" w:cs="Times New Roman"/>
          <w:bCs/>
          <w:color w:val="000000"/>
          <w:sz w:val="32"/>
          <w:szCs w:val="32"/>
        </w:rPr>
        <w:t>万元，主要原因是</w:t>
      </w:r>
      <w:r>
        <w:rPr>
          <w:rFonts w:hint="eastAsia" w:ascii="Times New Roman" w:hAnsi="Times New Roman" w:eastAsia="仿宋_GB2312" w:cs="Times New Roman"/>
          <w:bCs/>
          <w:color w:val="000000"/>
          <w:sz w:val="32"/>
          <w:szCs w:val="32"/>
          <w:lang w:val="en-US" w:eastAsia="zh-CN"/>
        </w:rPr>
        <w:t>人员结构发生变化和社会保险缴费政策性调整，人员经费随之发生变化</w:t>
      </w:r>
      <w:r>
        <w:rPr>
          <w:rFonts w:ascii="Times New Roman" w:hAnsi="Times New Roman" w:eastAsia="仿宋_GB2312" w:cs="Times New Roman"/>
          <w:bCs/>
          <w:color w:val="000000"/>
          <w:sz w:val="32"/>
          <w:szCs w:val="32"/>
        </w:rPr>
        <w:t>；项目支出</w:t>
      </w:r>
      <w:r>
        <w:rPr>
          <w:rFonts w:hint="eastAsia" w:ascii="Times New Roman" w:hAnsi="Times New Roman" w:eastAsia="仿宋_GB2312" w:cs="Times New Roman"/>
          <w:bCs/>
          <w:color w:val="000000"/>
          <w:sz w:val="32"/>
          <w:szCs w:val="32"/>
          <w:lang w:val="en-US" w:eastAsia="zh-CN"/>
        </w:rPr>
        <w:t>1107.58</w:t>
      </w:r>
      <w:r>
        <w:rPr>
          <w:rFonts w:ascii="Times New Roman" w:hAnsi="Times New Roman" w:eastAsia="仿宋_GB2312" w:cs="Times New Roman"/>
          <w:bCs/>
          <w:color w:val="000000"/>
          <w:sz w:val="32"/>
          <w:szCs w:val="32"/>
        </w:rPr>
        <w:t>万元，净调增</w:t>
      </w:r>
      <w:r>
        <w:rPr>
          <w:rFonts w:hint="eastAsia" w:ascii="Times New Roman" w:hAnsi="Times New Roman" w:eastAsia="仿宋_GB2312" w:cs="Times New Roman"/>
          <w:bCs/>
          <w:color w:val="000000"/>
          <w:sz w:val="32"/>
          <w:szCs w:val="32"/>
          <w:lang w:val="en-US" w:eastAsia="zh-CN"/>
        </w:rPr>
        <w:t>214.58</w:t>
      </w:r>
      <w:r>
        <w:rPr>
          <w:rFonts w:ascii="Times New Roman" w:hAnsi="Times New Roman" w:eastAsia="仿宋_GB2312" w:cs="Times New Roman"/>
          <w:bCs/>
          <w:color w:val="000000"/>
          <w:sz w:val="32"/>
          <w:szCs w:val="32"/>
        </w:rPr>
        <w:t>万元，主要原因是</w:t>
      </w:r>
      <w:r>
        <w:rPr>
          <w:rFonts w:hint="eastAsia" w:ascii="Times New Roman" w:hAnsi="Times New Roman" w:eastAsia="仿宋_GB2312" w:cs="Times New Roman"/>
          <w:bCs/>
          <w:color w:val="000000"/>
          <w:sz w:val="32"/>
          <w:szCs w:val="32"/>
          <w:lang w:val="en-US" w:eastAsia="zh-CN"/>
        </w:rPr>
        <w:t>增加部分为省级转移支付资金</w:t>
      </w:r>
      <w:r>
        <w:rPr>
          <w:rFonts w:ascii="Times New Roman" w:hAnsi="Times New Roman" w:eastAsia="仿宋_GB2312" w:cs="Times New Roman"/>
          <w:bCs/>
          <w:color w:val="000000"/>
          <w:sz w:val="32"/>
          <w:szCs w:val="32"/>
        </w:rPr>
        <w:t>。</w:t>
      </w:r>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2025年南京市</w:t>
      </w:r>
      <w:r>
        <w:rPr>
          <w:rFonts w:hint="eastAsia" w:ascii="Times New Roman" w:hAnsi="Times New Roman" w:eastAsia="仿宋_GB2312" w:cs="Times New Roman"/>
          <w:bCs/>
          <w:color w:val="000000"/>
          <w:sz w:val="32"/>
          <w:szCs w:val="32"/>
          <w:lang w:val="en-US" w:eastAsia="zh-CN"/>
        </w:rPr>
        <w:t>司法局</w:t>
      </w:r>
      <w:r>
        <w:rPr>
          <w:rFonts w:ascii="Times New Roman" w:hAnsi="Times New Roman" w:eastAsia="仿宋_GB2312" w:cs="Times New Roman"/>
          <w:bCs/>
          <w:color w:val="000000"/>
          <w:sz w:val="32"/>
          <w:szCs w:val="32"/>
        </w:rPr>
        <w:t>实际支出</w:t>
      </w:r>
      <w:r>
        <w:rPr>
          <w:rFonts w:hint="eastAsia" w:ascii="Times New Roman" w:hAnsi="Times New Roman" w:eastAsia="仿宋_GB2312" w:cs="Times New Roman"/>
          <w:bCs/>
          <w:color w:val="000000"/>
          <w:sz w:val="32"/>
          <w:szCs w:val="32"/>
          <w:lang w:val="en-US" w:eastAsia="zh-CN"/>
        </w:rPr>
        <w:t>8408.44</w:t>
      </w:r>
      <w:r>
        <w:rPr>
          <w:rFonts w:ascii="Times New Roman" w:hAnsi="Times New Roman" w:eastAsia="仿宋_GB2312" w:cs="Times New Roman"/>
          <w:bCs/>
          <w:color w:val="000000"/>
          <w:sz w:val="32"/>
          <w:szCs w:val="32"/>
        </w:rPr>
        <w:t>万元，预算执行率</w:t>
      </w:r>
      <w:r>
        <w:rPr>
          <w:rFonts w:hint="eastAsia" w:ascii="Times New Roman" w:hAnsi="Times New Roman" w:eastAsia="仿宋_GB2312" w:cs="Times New Roman"/>
          <w:bCs/>
          <w:color w:val="000000"/>
          <w:sz w:val="32"/>
          <w:szCs w:val="32"/>
          <w:lang w:val="en-US" w:eastAsia="zh-CN"/>
        </w:rPr>
        <w:t>100</w:t>
      </w:r>
      <w:r>
        <w:rPr>
          <w:rFonts w:ascii="Times New Roman" w:hAnsi="Times New Roman" w:eastAsia="仿宋_GB2312" w:cs="Times New Roman"/>
          <w:bCs/>
          <w:color w:val="000000"/>
          <w:sz w:val="32"/>
          <w:szCs w:val="32"/>
        </w:rPr>
        <w:t>%。其中：基本支出</w:t>
      </w:r>
      <w:r>
        <w:rPr>
          <w:rFonts w:hint="eastAsia" w:ascii="Times New Roman" w:hAnsi="Times New Roman" w:eastAsia="仿宋_GB2312" w:cs="Times New Roman"/>
          <w:bCs/>
          <w:color w:val="000000"/>
          <w:sz w:val="32"/>
          <w:szCs w:val="32"/>
          <w:lang w:val="en-US" w:eastAsia="zh-CN"/>
        </w:rPr>
        <w:t>7300.86</w:t>
      </w:r>
      <w:r>
        <w:rPr>
          <w:rFonts w:ascii="Times New Roman" w:hAnsi="Times New Roman" w:eastAsia="仿宋_GB2312" w:cs="Times New Roman"/>
          <w:bCs/>
          <w:color w:val="000000"/>
          <w:sz w:val="32"/>
          <w:szCs w:val="32"/>
        </w:rPr>
        <w:t>万元，预算执行率</w:t>
      </w:r>
      <w:r>
        <w:rPr>
          <w:rFonts w:hint="eastAsia" w:ascii="Times New Roman" w:hAnsi="Times New Roman" w:eastAsia="仿宋_GB2312" w:cs="Times New Roman"/>
          <w:bCs/>
          <w:color w:val="000000"/>
          <w:sz w:val="32"/>
          <w:szCs w:val="32"/>
          <w:lang w:val="en-US" w:eastAsia="zh-CN"/>
        </w:rPr>
        <w:t>100</w:t>
      </w:r>
      <w:r>
        <w:rPr>
          <w:rFonts w:ascii="Times New Roman" w:hAnsi="Times New Roman" w:eastAsia="仿宋_GB2312" w:cs="Times New Roman"/>
          <w:bCs/>
          <w:color w:val="000000"/>
          <w:sz w:val="32"/>
          <w:szCs w:val="32"/>
        </w:rPr>
        <w:t>%；项目支出</w:t>
      </w:r>
      <w:r>
        <w:rPr>
          <w:rFonts w:hint="eastAsia" w:ascii="Times New Roman" w:hAnsi="Times New Roman" w:eastAsia="仿宋_GB2312" w:cs="Times New Roman"/>
          <w:bCs/>
          <w:color w:val="000000"/>
          <w:sz w:val="32"/>
          <w:szCs w:val="32"/>
          <w:lang w:val="en-US" w:eastAsia="zh-CN"/>
        </w:rPr>
        <w:t>1107.58</w:t>
      </w:r>
      <w:r>
        <w:rPr>
          <w:rFonts w:ascii="Times New Roman" w:hAnsi="Times New Roman" w:eastAsia="仿宋_GB2312" w:cs="Times New Roman"/>
          <w:bCs/>
          <w:color w:val="000000"/>
          <w:sz w:val="32"/>
          <w:szCs w:val="32"/>
        </w:rPr>
        <w:t>万元，预算执行率</w:t>
      </w:r>
      <w:r>
        <w:rPr>
          <w:rFonts w:hint="eastAsia" w:ascii="Times New Roman" w:hAnsi="Times New Roman" w:eastAsia="仿宋_GB2312" w:cs="Times New Roman"/>
          <w:bCs/>
          <w:color w:val="000000"/>
          <w:sz w:val="32"/>
          <w:szCs w:val="32"/>
          <w:lang w:val="en-US" w:eastAsia="zh-CN"/>
        </w:rPr>
        <w:t>100</w:t>
      </w:r>
      <w:r>
        <w:rPr>
          <w:rFonts w:ascii="Times New Roman" w:hAnsi="Times New Roman" w:eastAsia="仿宋_GB2312" w:cs="Times New Roman"/>
          <w:bCs/>
          <w:color w:val="000000"/>
          <w:sz w:val="32"/>
          <w:szCs w:val="32"/>
        </w:rPr>
        <w:t>%。详情见表1。</w:t>
      </w:r>
    </w:p>
    <w:p>
      <w:pPr>
        <w:spacing w:line="600" w:lineRule="exact"/>
        <w:jc w:val="center"/>
        <w:rPr>
          <w:rFonts w:ascii="Times New Roman" w:hAnsi="Times New Roman" w:eastAsia="方正仿宋简体" w:cs="Times New Roman"/>
          <w:b/>
          <w:color w:val="000000"/>
          <w:sz w:val="28"/>
          <w:szCs w:val="28"/>
        </w:rPr>
      </w:pPr>
      <w:r>
        <w:rPr>
          <w:rFonts w:ascii="Times New Roman" w:hAnsi="Times New Roman" w:eastAsia="方正仿宋简体" w:cs="Times New Roman"/>
          <w:b/>
          <w:color w:val="000000"/>
          <w:sz w:val="28"/>
          <w:szCs w:val="28"/>
        </w:rPr>
        <w:t>表1  2025年市</w:t>
      </w:r>
      <w:r>
        <w:rPr>
          <w:rFonts w:hint="eastAsia" w:ascii="Times New Roman" w:hAnsi="Times New Roman" w:eastAsia="方正仿宋简体" w:cs="Times New Roman"/>
          <w:b/>
          <w:color w:val="000000"/>
          <w:sz w:val="28"/>
          <w:szCs w:val="28"/>
          <w:lang w:val="en-US" w:eastAsia="zh-CN"/>
        </w:rPr>
        <w:t>司法局</w:t>
      </w:r>
      <w:r>
        <w:rPr>
          <w:rFonts w:ascii="Times New Roman" w:hAnsi="Times New Roman" w:eastAsia="方正仿宋简体" w:cs="Times New Roman"/>
          <w:b/>
          <w:color w:val="000000"/>
          <w:sz w:val="28"/>
          <w:szCs w:val="28"/>
        </w:rPr>
        <w:t>部门预算安排与支出情况</w:t>
      </w:r>
    </w:p>
    <w:p>
      <w:pPr>
        <w:spacing w:line="600" w:lineRule="exact"/>
        <w:ind w:right="633"/>
        <w:jc w:val="right"/>
        <w:rPr>
          <w:rFonts w:ascii="Times New Roman" w:hAnsi="Times New Roman" w:eastAsia="方正仿宋简体" w:cs="Times New Roman"/>
          <w:b/>
          <w:color w:val="000000"/>
          <w:sz w:val="28"/>
          <w:szCs w:val="28"/>
        </w:rPr>
      </w:pPr>
      <w:r>
        <w:rPr>
          <w:rFonts w:ascii="Times New Roman" w:hAnsi="Times New Roman" w:eastAsia="方正仿宋简体" w:cs="Times New Roman"/>
          <w:b/>
          <w:color w:val="000000"/>
          <w:sz w:val="28"/>
          <w:szCs w:val="28"/>
        </w:rPr>
        <w:t>单位：万元</w:t>
      </w:r>
    </w:p>
    <w:tbl>
      <w:tblPr>
        <w:tblStyle w:val="1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4"/>
        <w:gridCol w:w="1974"/>
        <w:gridCol w:w="1913"/>
        <w:gridCol w:w="1633"/>
        <w:gridCol w:w="1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905"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支出类别</w:t>
            </w:r>
          </w:p>
        </w:tc>
        <w:tc>
          <w:tcPr>
            <w:tcW w:w="1100"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年初预算数</w:t>
            </w:r>
          </w:p>
        </w:tc>
        <w:tc>
          <w:tcPr>
            <w:tcW w:w="1066"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调整后预算数</w:t>
            </w:r>
          </w:p>
        </w:tc>
        <w:tc>
          <w:tcPr>
            <w:tcW w:w="910"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实际支出数</w:t>
            </w:r>
          </w:p>
        </w:tc>
        <w:tc>
          <w:tcPr>
            <w:tcW w:w="1017"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05"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基本支出</w:t>
            </w:r>
          </w:p>
        </w:tc>
        <w:tc>
          <w:tcPr>
            <w:tcW w:w="1100"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仿宋_GB2312" w:cs="Times New Roman"/>
                <w:bCs/>
                <w:color w:val="000000"/>
                <w:sz w:val="32"/>
                <w:szCs w:val="32"/>
              </w:rPr>
              <w:t>6601.1</w:t>
            </w:r>
          </w:p>
        </w:tc>
        <w:tc>
          <w:tcPr>
            <w:tcW w:w="1066" w:type="pct"/>
            <w:noWrap/>
            <w:vAlign w:val="center"/>
          </w:tcPr>
          <w:p>
            <w:pPr>
              <w:spacing w:line="600" w:lineRule="exact"/>
              <w:jc w:val="center"/>
              <w:rPr>
                <w:rFonts w:ascii="Times New Roman" w:hAnsi="Times New Roman" w:eastAsia="方正仿宋简体" w:cs="Times New Roman"/>
                <w:color w:val="000000"/>
                <w:sz w:val="28"/>
                <w:szCs w:val="28"/>
              </w:rPr>
            </w:pPr>
            <w:r>
              <w:rPr>
                <w:rFonts w:hint="eastAsia" w:ascii="Times New Roman" w:hAnsi="Times New Roman" w:eastAsia="仿宋_GB2312" w:cs="Times New Roman"/>
                <w:bCs/>
                <w:color w:val="000000"/>
                <w:sz w:val="32"/>
                <w:szCs w:val="32"/>
                <w:lang w:val="en-US" w:eastAsia="zh-CN"/>
              </w:rPr>
              <w:t>7300.86</w:t>
            </w:r>
          </w:p>
        </w:tc>
        <w:tc>
          <w:tcPr>
            <w:tcW w:w="910" w:type="pct"/>
            <w:noWrap/>
            <w:vAlign w:val="center"/>
          </w:tcPr>
          <w:p>
            <w:pPr>
              <w:spacing w:line="600" w:lineRule="exact"/>
              <w:jc w:val="center"/>
              <w:rPr>
                <w:rFonts w:ascii="Times New Roman" w:hAnsi="Times New Roman" w:eastAsia="方正仿宋简体" w:cs="Times New Roman"/>
                <w:color w:val="000000"/>
                <w:kern w:val="2"/>
                <w:sz w:val="28"/>
                <w:szCs w:val="28"/>
                <w:lang w:val="en-US" w:eastAsia="zh-CN" w:bidi="ar-SA"/>
              </w:rPr>
            </w:pPr>
            <w:r>
              <w:rPr>
                <w:rFonts w:hint="eastAsia" w:ascii="Times New Roman" w:hAnsi="Times New Roman" w:eastAsia="仿宋_GB2312" w:cs="Times New Roman"/>
                <w:bCs/>
                <w:color w:val="000000"/>
                <w:sz w:val="32"/>
                <w:szCs w:val="32"/>
                <w:lang w:val="en-US" w:eastAsia="zh-CN"/>
              </w:rPr>
              <w:t>7300.86</w:t>
            </w:r>
          </w:p>
        </w:tc>
        <w:tc>
          <w:tcPr>
            <w:tcW w:w="1017" w:type="pct"/>
            <w:noWrap/>
            <w:vAlign w:val="center"/>
          </w:tcPr>
          <w:p>
            <w:pPr>
              <w:spacing w:line="600" w:lineRule="exact"/>
              <w:jc w:val="center"/>
              <w:rPr>
                <w:rFonts w:ascii="Times New Roman" w:hAnsi="Times New Roman" w:eastAsia="方正仿宋简体" w:cs="Times New Roman"/>
                <w:color w:val="000000"/>
                <w:sz w:val="28"/>
                <w:szCs w:val="28"/>
              </w:rPr>
            </w:pPr>
            <w:r>
              <w:rPr>
                <w:rFonts w:hint="eastAsia" w:ascii="Times New Roman" w:hAnsi="Times New Roman" w:eastAsia="仿宋_GB2312" w:cs="Times New Roman"/>
                <w:bCs/>
                <w:color w:val="000000"/>
                <w:sz w:val="32"/>
                <w:szCs w:val="32"/>
                <w:lang w:val="en-US" w:eastAsia="zh-CN"/>
              </w:rPr>
              <w:t>100</w:t>
            </w:r>
            <w:r>
              <w:rPr>
                <w:rFonts w:ascii="Times New Roman" w:hAnsi="Times New Roman" w:eastAsia="仿宋_GB2312" w:cs="Times New Roman"/>
                <w:bCs/>
                <w:color w:val="000000"/>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05"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项目支出</w:t>
            </w:r>
          </w:p>
        </w:tc>
        <w:tc>
          <w:tcPr>
            <w:tcW w:w="1100"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仿宋_GB2312" w:cs="Times New Roman"/>
                <w:bCs/>
                <w:color w:val="000000"/>
                <w:sz w:val="32"/>
                <w:szCs w:val="32"/>
              </w:rPr>
              <w:t>893</w:t>
            </w:r>
          </w:p>
        </w:tc>
        <w:tc>
          <w:tcPr>
            <w:tcW w:w="1066" w:type="pct"/>
            <w:noWrap/>
            <w:vAlign w:val="center"/>
          </w:tcPr>
          <w:p>
            <w:pPr>
              <w:spacing w:line="600" w:lineRule="exact"/>
              <w:jc w:val="center"/>
              <w:rPr>
                <w:rFonts w:ascii="Times New Roman" w:hAnsi="Times New Roman" w:eastAsia="方正仿宋简体" w:cs="Times New Roman"/>
                <w:color w:val="000000"/>
                <w:sz w:val="28"/>
                <w:szCs w:val="28"/>
              </w:rPr>
            </w:pPr>
            <w:r>
              <w:rPr>
                <w:rFonts w:hint="eastAsia" w:ascii="Times New Roman" w:hAnsi="Times New Roman" w:eastAsia="仿宋_GB2312" w:cs="Times New Roman"/>
                <w:bCs/>
                <w:color w:val="000000"/>
                <w:sz w:val="32"/>
                <w:szCs w:val="32"/>
                <w:lang w:val="en-US" w:eastAsia="zh-CN"/>
              </w:rPr>
              <w:t>1107.58</w:t>
            </w:r>
          </w:p>
        </w:tc>
        <w:tc>
          <w:tcPr>
            <w:tcW w:w="910" w:type="pct"/>
            <w:noWrap/>
            <w:vAlign w:val="center"/>
          </w:tcPr>
          <w:p>
            <w:pPr>
              <w:spacing w:line="600" w:lineRule="exact"/>
              <w:jc w:val="center"/>
              <w:rPr>
                <w:rFonts w:ascii="Times New Roman" w:hAnsi="Times New Roman" w:eastAsia="方正仿宋简体" w:cs="Times New Roman"/>
                <w:color w:val="000000"/>
                <w:kern w:val="2"/>
                <w:sz w:val="28"/>
                <w:szCs w:val="28"/>
                <w:lang w:val="en-US" w:eastAsia="zh-CN" w:bidi="ar-SA"/>
              </w:rPr>
            </w:pPr>
            <w:r>
              <w:rPr>
                <w:rFonts w:hint="eastAsia" w:ascii="Times New Roman" w:hAnsi="Times New Roman" w:eastAsia="仿宋_GB2312" w:cs="Times New Roman"/>
                <w:bCs/>
                <w:color w:val="000000"/>
                <w:sz w:val="32"/>
                <w:szCs w:val="32"/>
                <w:lang w:val="en-US" w:eastAsia="zh-CN"/>
              </w:rPr>
              <w:t>1107.58</w:t>
            </w:r>
          </w:p>
        </w:tc>
        <w:tc>
          <w:tcPr>
            <w:tcW w:w="1017" w:type="pct"/>
            <w:noWrap/>
            <w:vAlign w:val="center"/>
          </w:tcPr>
          <w:p>
            <w:pPr>
              <w:spacing w:line="600" w:lineRule="exact"/>
              <w:jc w:val="center"/>
              <w:rPr>
                <w:rFonts w:ascii="Times New Roman" w:hAnsi="Times New Roman" w:eastAsia="方正仿宋简体" w:cs="Times New Roman"/>
                <w:color w:val="000000"/>
                <w:sz w:val="28"/>
                <w:szCs w:val="28"/>
              </w:rPr>
            </w:pPr>
            <w:r>
              <w:rPr>
                <w:rFonts w:hint="eastAsia" w:ascii="Times New Roman" w:hAnsi="Times New Roman" w:eastAsia="仿宋_GB2312" w:cs="Times New Roman"/>
                <w:bCs/>
                <w:color w:val="000000"/>
                <w:sz w:val="32"/>
                <w:szCs w:val="32"/>
                <w:lang w:val="en-US" w:eastAsia="zh-CN"/>
              </w:rPr>
              <w:t>100</w:t>
            </w:r>
            <w:r>
              <w:rPr>
                <w:rFonts w:ascii="Times New Roman" w:hAnsi="Times New Roman" w:eastAsia="仿宋_GB2312" w:cs="Times New Roman"/>
                <w:bCs/>
                <w:color w:val="000000"/>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5" w:type="pct"/>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sz w:val="28"/>
                <w:szCs w:val="28"/>
              </w:rPr>
              <w:t>合计</w:t>
            </w:r>
          </w:p>
        </w:tc>
        <w:tc>
          <w:tcPr>
            <w:tcW w:w="1100" w:type="pct"/>
            <w:noWrap/>
            <w:vAlign w:val="center"/>
          </w:tcPr>
          <w:p>
            <w:pPr>
              <w:spacing w:line="600" w:lineRule="exact"/>
              <w:jc w:val="center"/>
              <w:rPr>
                <w:rFonts w:ascii="Times New Roman" w:hAnsi="Times New Roman" w:eastAsia="方正仿宋简体" w:cs="Times New Roman"/>
                <w:color w:val="000000"/>
                <w:sz w:val="28"/>
                <w:szCs w:val="28"/>
              </w:rPr>
            </w:pPr>
            <w:r>
              <w:rPr>
                <w:rFonts w:ascii="Times New Roman" w:hAnsi="Times New Roman" w:eastAsia="仿宋_GB2312" w:cs="Times New Roman"/>
                <w:bCs/>
                <w:color w:val="000000"/>
                <w:sz w:val="32"/>
                <w:szCs w:val="32"/>
              </w:rPr>
              <w:t>7494.1</w:t>
            </w:r>
          </w:p>
        </w:tc>
        <w:tc>
          <w:tcPr>
            <w:tcW w:w="1066" w:type="pct"/>
            <w:noWrap/>
            <w:vAlign w:val="center"/>
          </w:tcPr>
          <w:p>
            <w:pPr>
              <w:spacing w:line="600" w:lineRule="exact"/>
              <w:jc w:val="center"/>
              <w:rPr>
                <w:rFonts w:ascii="Times New Roman" w:hAnsi="Times New Roman" w:eastAsia="方正仿宋简体" w:cs="Times New Roman"/>
                <w:color w:val="000000"/>
                <w:sz w:val="28"/>
                <w:szCs w:val="28"/>
              </w:rPr>
            </w:pPr>
            <w:r>
              <w:rPr>
                <w:rFonts w:hint="eastAsia" w:ascii="Times New Roman" w:hAnsi="Times New Roman" w:eastAsia="仿宋_GB2312" w:cs="Times New Roman"/>
                <w:bCs/>
                <w:color w:val="000000"/>
                <w:sz w:val="32"/>
                <w:szCs w:val="32"/>
                <w:lang w:val="en-US" w:eastAsia="zh-CN"/>
              </w:rPr>
              <w:t>8408.44</w:t>
            </w:r>
          </w:p>
        </w:tc>
        <w:tc>
          <w:tcPr>
            <w:tcW w:w="910" w:type="pct"/>
            <w:noWrap/>
            <w:vAlign w:val="center"/>
          </w:tcPr>
          <w:p>
            <w:pPr>
              <w:spacing w:line="600" w:lineRule="exact"/>
              <w:jc w:val="center"/>
              <w:rPr>
                <w:rFonts w:ascii="Times New Roman" w:hAnsi="Times New Roman" w:eastAsia="方正仿宋简体" w:cs="Times New Roman"/>
                <w:color w:val="000000"/>
                <w:sz w:val="28"/>
                <w:szCs w:val="28"/>
              </w:rPr>
            </w:pPr>
            <w:r>
              <w:rPr>
                <w:rFonts w:hint="eastAsia" w:ascii="Times New Roman" w:hAnsi="Times New Roman" w:eastAsia="仿宋_GB2312" w:cs="Times New Roman"/>
                <w:bCs/>
                <w:color w:val="000000"/>
                <w:sz w:val="32"/>
                <w:szCs w:val="32"/>
                <w:lang w:val="en-US" w:eastAsia="zh-CN"/>
              </w:rPr>
              <w:t>8408.44</w:t>
            </w:r>
          </w:p>
        </w:tc>
        <w:tc>
          <w:tcPr>
            <w:tcW w:w="1017" w:type="pct"/>
            <w:noWrap/>
            <w:vAlign w:val="center"/>
          </w:tcPr>
          <w:p>
            <w:pPr>
              <w:spacing w:line="600" w:lineRule="exact"/>
              <w:jc w:val="center"/>
              <w:rPr>
                <w:rFonts w:ascii="Times New Roman" w:hAnsi="Times New Roman" w:eastAsia="方正仿宋简体" w:cs="Times New Roman"/>
                <w:color w:val="000000"/>
                <w:sz w:val="28"/>
                <w:szCs w:val="28"/>
              </w:rPr>
            </w:pPr>
            <w:r>
              <w:rPr>
                <w:rFonts w:hint="eastAsia" w:ascii="Times New Roman" w:hAnsi="Times New Roman" w:eastAsia="仿宋_GB2312" w:cs="Times New Roman"/>
                <w:bCs/>
                <w:color w:val="000000"/>
                <w:sz w:val="32"/>
                <w:szCs w:val="32"/>
                <w:lang w:val="en-US" w:eastAsia="zh-CN"/>
              </w:rPr>
              <w:t>100</w:t>
            </w:r>
            <w:r>
              <w:rPr>
                <w:rFonts w:ascii="Times New Roman" w:hAnsi="Times New Roman" w:eastAsia="仿宋_GB2312" w:cs="Times New Roman"/>
                <w:bCs/>
                <w:color w:val="000000"/>
                <w:sz w:val="32"/>
                <w:szCs w:val="32"/>
              </w:rPr>
              <w:t>%</w:t>
            </w:r>
          </w:p>
        </w:tc>
      </w:tr>
    </w:tbl>
    <w:p>
      <w:pPr>
        <w:spacing w:line="600" w:lineRule="exact"/>
        <w:ind w:firstLine="640" w:firstLineChars="200"/>
        <w:rPr>
          <w:rFonts w:ascii="Times New Roman" w:hAnsi="Times New Roman" w:eastAsia="仿宋_GB2312" w:cs="Times New Roman"/>
          <w:bCs/>
          <w:color w:val="000000"/>
          <w:sz w:val="32"/>
          <w:szCs w:val="32"/>
        </w:rPr>
      </w:pPr>
      <w:bookmarkStart w:id="3" w:name="_Toc157713185"/>
      <w:r>
        <w:rPr>
          <w:rFonts w:ascii="Times New Roman" w:hAnsi="Times New Roman" w:eastAsia="仿宋_GB2312" w:cs="Times New Roman"/>
          <w:bCs/>
          <w:color w:val="000000"/>
          <w:sz w:val="32"/>
          <w:szCs w:val="32"/>
        </w:rPr>
        <w:t>2.三公经费情况</w:t>
      </w:r>
    </w:p>
    <w:p>
      <w:pPr>
        <w:spacing w:line="600" w:lineRule="exact"/>
        <w:ind w:firstLine="640" w:firstLineChars="200"/>
        <w:rPr>
          <w:rFonts w:hint="default" w:ascii="Times New Roman" w:hAnsi="Times New Roman" w:eastAsia="仿宋_GB2312" w:cs="Times New Roman"/>
          <w:bCs/>
          <w:color w:val="000000"/>
          <w:sz w:val="32"/>
          <w:szCs w:val="32"/>
          <w:lang w:val="en-US" w:eastAsia="zh-CN"/>
        </w:rPr>
      </w:pPr>
      <w:r>
        <w:rPr>
          <w:rFonts w:ascii="Times New Roman" w:hAnsi="Times New Roman" w:eastAsia="仿宋_GB2312" w:cs="Times New Roman"/>
          <w:bCs/>
          <w:color w:val="000000"/>
          <w:sz w:val="32"/>
          <w:szCs w:val="32"/>
        </w:rPr>
        <w:t>南京市司法局2025年度</w:t>
      </w:r>
      <w:r>
        <w:rPr>
          <w:rFonts w:hint="eastAsia" w:ascii="Times New Roman" w:hAnsi="Times New Roman" w:eastAsia="仿宋_GB2312" w:cs="Times New Roman"/>
          <w:bCs/>
          <w:color w:val="000000"/>
          <w:sz w:val="32"/>
          <w:szCs w:val="32"/>
          <w:lang w:val="en-US" w:eastAsia="zh-CN"/>
        </w:rPr>
        <w:t>年初</w:t>
      </w:r>
      <w:r>
        <w:rPr>
          <w:rFonts w:ascii="Times New Roman" w:hAnsi="Times New Roman" w:eastAsia="仿宋_GB2312" w:cs="Times New Roman"/>
          <w:bCs/>
          <w:color w:val="000000"/>
          <w:sz w:val="32"/>
          <w:szCs w:val="32"/>
        </w:rPr>
        <w:t>预算安排的“三公”经费支出</w:t>
      </w:r>
      <w:r>
        <w:rPr>
          <w:rFonts w:hint="eastAsia" w:ascii="Times New Roman" w:hAnsi="Times New Roman" w:eastAsia="仿宋_GB2312" w:cs="Times New Roman"/>
          <w:bCs/>
          <w:color w:val="000000"/>
          <w:sz w:val="32"/>
          <w:szCs w:val="32"/>
          <w:lang w:val="en-US" w:eastAsia="zh-CN"/>
        </w:rPr>
        <w:t>为</w:t>
      </w:r>
      <w:r>
        <w:rPr>
          <w:rFonts w:ascii="Times New Roman" w:hAnsi="Times New Roman" w:eastAsia="仿宋_GB2312" w:cs="Times New Roman"/>
          <w:bCs/>
          <w:color w:val="000000"/>
          <w:sz w:val="32"/>
          <w:szCs w:val="32"/>
        </w:rPr>
        <w:t>25.55万元。其中，因公出国（境）费支出0万元，公务用车购置及运行维护费支出15.55万元，公务接待费支出10万元。</w:t>
      </w:r>
      <w:r>
        <w:rPr>
          <w:rFonts w:hint="eastAsia" w:ascii="Times New Roman" w:hAnsi="Times New Roman" w:eastAsia="仿宋_GB2312" w:cs="Times New Roman"/>
          <w:bCs/>
          <w:color w:val="000000"/>
          <w:sz w:val="32"/>
          <w:szCs w:val="32"/>
          <w:lang w:val="en-US" w:eastAsia="zh-CN"/>
        </w:rPr>
        <w:t>调整原因为落实国家过紧日子政策，压减一般性支出。</w:t>
      </w:r>
    </w:p>
    <w:p>
      <w:pPr>
        <w:spacing w:line="600" w:lineRule="exact"/>
        <w:ind w:firstLine="640" w:firstLineChars="200"/>
        <w:rPr>
          <w:rFonts w:hint="default" w:ascii="Times New Roman" w:hAnsi="Times New Roman" w:eastAsia="仿宋_GB2312" w:cs="Times New Roman"/>
          <w:bCs/>
          <w:color w:val="000000"/>
          <w:sz w:val="32"/>
          <w:szCs w:val="32"/>
          <w:lang w:val="en-US" w:eastAsia="zh-CN"/>
        </w:rPr>
      </w:pPr>
      <w:r>
        <w:rPr>
          <w:rFonts w:ascii="Times New Roman" w:hAnsi="Times New Roman" w:eastAsia="仿宋_GB2312" w:cs="Times New Roman"/>
          <w:bCs/>
          <w:color w:val="000000"/>
          <w:sz w:val="32"/>
          <w:szCs w:val="32"/>
        </w:rPr>
        <w:t>2025年南京市</w:t>
      </w:r>
      <w:r>
        <w:rPr>
          <w:rFonts w:hint="eastAsia" w:ascii="Times New Roman" w:hAnsi="Times New Roman" w:eastAsia="仿宋_GB2312" w:cs="Times New Roman"/>
          <w:bCs/>
          <w:color w:val="000000"/>
          <w:sz w:val="32"/>
          <w:szCs w:val="32"/>
          <w:lang w:val="en-US" w:eastAsia="zh-CN"/>
        </w:rPr>
        <w:t>司法局</w:t>
      </w:r>
      <w:r>
        <w:rPr>
          <w:rFonts w:ascii="Times New Roman" w:hAnsi="Times New Roman" w:eastAsia="仿宋_GB2312" w:cs="Times New Roman"/>
          <w:bCs/>
          <w:color w:val="000000"/>
          <w:sz w:val="32"/>
          <w:szCs w:val="32"/>
        </w:rPr>
        <w:t>“三公”经费实际支出</w:t>
      </w:r>
      <w:r>
        <w:rPr>
          <w:rFonts w:hint="eastAsia" w:ascii="Times New Roman" w:hAnsi="Times New Roman" w:eastAsia="仿宋_GB2312" w:cs="Times New Roman"/>
          <w:bCs/>
          <w:color w:val="000000"/>
          <w:sz w:val="32"/>
          <w:szCs w:val="32"/>
          <w:lang w:val="en-US" w:eastAsia="zh-CN"/>
        </w:rPr>
        <w:t>20.09万元，执行率78.63%。其中，</w:t>
      </w:r>
      <w:r>
        <w:rPr>
          <w:rFonts w:ascii="Times New Roman" w:hAnsi="Times New Roman" w:eastAsia="仿宋_GB2312" w:cs="Times New Roman"/>
          <w:bCs/>
          <w:color w:val="000000"/>
          <w:sz w:val="32"/>
          <w:szCs w:val="32"/>
        </w:rPr>
        <w:t>因公出国（境）费支出0万元，公务用车购置及运行维护费支出15.55万元，公务接待费支出</w:t>
      </w:r>
      <w:r>
        <w:rPr>
          <w:rFonts w:hint="eastAsia" w:ascii="Times New Roman" w:hAnsi="Times New Roman" w:eastAsia="仿宋_GB2312" w:cs="Times New Roman"/>
          <w:bCs/>
          <w:color w:val="000000"/>
          <w:sz w:val="32"/>
          <w:szCs w:val="32"/>
          <w:lang w:val="en-US" w:eastAsia="zh-CN"/>
        </w:rPr>
        <w:t>4.54</w:t>
      </w:r>
      <w:r>
        <w:rPr>
          <w:rFonts w:ascii="Times New Roman" w:hAnsi="Times New Roman" w:eastAsia="仿宋_GB2312" w:cs="Times New Roman"/>
          <w:bCs/>
          <w:color w:val="000000"/>
          <w:sz w:val="32"/>
          <w:szCs w:val="32"/>
        </w:rPr>
        <w:t>万元。主要原因是</w:t>
      </w:r>
      <w:r>
        <w:rPr>
          <w:rFonts w:hint="eastAsia" w:ascii="Times New Roman" w:hAnsi="Times New Roman" w:eastAsia="仿宋_GB2312" w:cs="Times New Roman"/>
          <w:bCs/>
          <w:color w:val="000000"/>
          <w:sz w:val="32"/>
          <w:szCs w:val="32"/>
          <w:lang w:val="en-US" w:eastAsia="zh-CN"/>
        </w:rPr>
        <w:t>落实国家过紧日子政策，压减一般性支出。</w:t>
      </w:r>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3.专项资金情况</w:t>
      </w:r>
    </w:p>
    <w:p>
      <w:pPr>
        <w:spacing w:line="60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2025年，南京市</w:t>
      </w:r>
      <w:r>
        <w:rPr>
          <w:rFonts w:hint="eastAsia" w:ascii="Times New Roman" w:hAnsi="Times New Roman" w:eastAsia="仿宋_GB2312" w:cs="Times New Roman"/>
          <w:bCs/>
          <w:color w:val="000000"/>
          <w:sz w:val="32"/>
          <w:szCs w:val="32"/>
          <w:lang w:val="en-US" w:eastAsia="zh-CN"/>
        </w:rPr>
        <w:t>司法局</w:t>
      </w:r>
      <w:r>
        <w:rPr>
          <w:rFonts w:ascii="Times New Roman" w:hAnsi="Times New Roman" w:eastAsia="仿宋_GB2312" w:cs="Times New Roman"/>
          <w:bCs/>
          <w:color w:val="000000"/>
          <w:sz w:val="32"/>
          <w:szCs w:val="32"/>
        </w:rPr>
        <w:t>预算共涉及</w:t>
      </w:r>
      <w:r>
        <w:rPr>
          <w:rFonts w:hint="eastAsia" w:ascii="Times New Roman" w:hAnsi="Times New Roman" w:eastAsia="仿宋_GB2312" w:cs="Times New Roman"/>
          <w:bCs/>
          <w:color w:val="000000"/>
          <w:sz w:val="32"/>
          <w:szCs w:val="32"/>
          <w:lang w:val="en-US" w:eastAsia="zh-CN"/>
        </w:rPr>
        <w:t>1</w:t>
      </w:r>
      <w:r>
        <w:rPr>
          <w:rFonts w:ascii="Times New Roman" w:hAnsi="Times New Roman" w:eastAsia="仿宋_GB2312" w:cs="Times New Roman"/>
          <w:bCs/>
          <w:color w:val="000000"/>
          <w:sz w:val="32"/>
          <w:szCs w:val="32"/>
        </w:rPr>
        <w:t>个专项资金项目，年初预算安排</w:t>
      </w:r>
      <w:r>
        <w:rPr>
          <w:rFonts w:hint="eastAsia" w:ascii="Times New Roman" w:hAnsi="Times New Roman" w:eastAsia="仿宋_GB2312" w:cs="Times New Roman"/>
          <w:bCs/>
          <w:color w:val="000000"/>
          <w:sz w:val="32"/>
          <w:szCs w:val="32"/>
          <w:lang w:val="en-US" w:eastAsia="zh-CN"/>
        </w:rPr>
        <w:t>384.00</w:t>
      </w:r>
      <w:r>
        <w:rPr>
          <w:rFonts w:ascii="Times New Roman" w:hAnsi="Times New Roman" w:eastAsia="仿宋_GB2312" w:cs="Times New Roman"/>
          <w:bCs/>
          <w:color w:val="000000"/>
          <w:sz w:val="32"/>
          <w:szCs w:val="32"/>
        </w:rPr>
        <w:t>万元，年中预算调减（调增）</w:t>
      </w:r>
      <w:r>
        <w:rPr>
          <w:rFonts w:hint="eastAsia" w:ascii="Times New Roman" w:hAnsi="Times New Roman" w:eastAsia="仿宋_GB2312" w:cs="Times New Roman"/>
          <w:bCs/>
          <w:color w:val="000000"/>
          <w:sz w:val="32"/>
          <w:szCs w:val="32"/>
          <w:lang w:val="en-US" w:eastAsia="zh-CN"/>
        </w:rPr>
        <w:t>0</w:t>
      </w:r>
      <w:r>
        <w:rPr>
          <w:rFonts w:ascii="Times New Roman" w:hAnsi="Times New Roman" w:eastAsia="仿宋_GB2312" w:cs="Times New Roman"/>
          <w:bCs/>
          <w:color w:val="000000"/>
          <w:sz w:val="32"/>
          <w:szCs w:val="32"/>
        </w:rPr>
        <w:t>万元，调整后预算数</w:t>
      </w:r>
      <w:r>
        <w:rPr>
          <w:rFonts w:hint="eastAsia" w:ascii="Times New Roman" w:hAnsi="Times New Roman" w:eastAsia="仿宋_GB2312" w:cs="Times New Roman"/>
          <w:bCs/>
          <w:color w:val="000000"/>
          <w:sz w:val="32"/>
          <w:szCs w:val="32"/>
          <w:lang w:val="en-US" w:eastAsia="zh-CN"/>
        </w:rPr>
        <w:t>384.00</w:t>
      </w:r>
      <w:r>
        <w:rPr>
          <w:rFonts w:ascii="Times New Roman" w:hAnsi="Times New Roman" w:eastAsia="仿宋_GB2312" w:cs="Times New Roman"/>
          <w:bCs/>
          <w:color w:val="000000"/>
          <w:sz w:val="32"/>
          <w:szCs w:val="32"/>
        </w:rPr>
        <w:t>万元，实际支出</w:t>
      </w:r>
      <w:r>
        <w:rPr>
          <w:rFonts w:hint="eastAsia" w:ascii="Times New Roman" w:hAnsi="Times New Roman" w:eastAsia="仿宋_GB2312" w:cs="Times New Roman"/>
          <w:bCs/>
          <w:color w:val="000000"/>
          <w:sz w:val="32"/>
          <w:szCs w:val="32"/>
          <w:lang w:val="en-US" w:eastAsia="zh-CN"/>
        </w:rPr>
        <w:t>384.00</w:t>
      </w:r>
      <w:r>
        <w:rPr>
          <w:rFonts w:ascii="Times New Roman" w:hAnsi="Times New Roman" w:eastAsia="仿宋_GB2312" w:cs="Times New Roman"/>
          <w:bCs/>
          <w:color w:val="000000"/>
          <w:sz w:val="32"/>
          <w:szCs w:val="32"/>
        </w:rPr>
        <w:t>万元，预算执行率</w:t>
      </w:r>
      <w:r>
        <w:rPr>
          <w:rFonts w:hint="eastAsia" w:ascii="Times New Roman" w:hAnsi="Times New Roman" w:eastAsia="仿宋_GB2312" w:cs="Times New Roman"/>
          <w:bCs/>
          <w:color w:val="000000"/>
          <w:sz w:val="32"/>
          <w:szCs w:val="32"/>
          <w:lang w:val="en-US" w:eastAsia="zh-CN"/>
        </w:rPr>
        <w:t>100</w:t>
      </w:r>
      <w:r>
        <w:rPr>
          <w:rFonts w:ascii="Times New Roman" w:hAnsi="Times New Roman" w:eastAsia="仿宋_GB2312" w:cs="Times New Roman"/>
          <w:bCs/>
          <w:color w:val="000000"/>
          <w:sz w:val="32"/>
          <w:szCs w:val="32"/>
        </w:rPr>
        <w:t xml:space="preserve"> %。详见表2。</w:t>
      </w:r>
    </w:p>
    <w:p>
      <w:pPr>
        <w:spacing w:line="600" w:lineRule="exact"/>
        <w:jc w:val="center"/>
        <w:rPr>
          <w:rFonts w:ascii="Times New Roman" w:hAnsi="Times New Roman" w:eastAsia="方正仿宋简体" w:cs="Times New Roman"/>
          <w:b/>
          <w:color w:val="000000"/>
          <w:sz w:val="28"/>
          <w:szCs w:val="28"/>
        </w:rPr>
      </w:pPr>
      <w:r>
        <w:rPr>
          <w:rFonts w:ascii="Times New Roman" w:hAnsi="Times New Roman" w:eastAsia="方正仿宋简体" w:cs="Times New Roman"/>
          <w:b/>
          <w:color w:val="000000"/>
          <w:sz w:val="28"/>
          <w:szCs w:val="28"/>
        </w:rPr>
        <w:t>表2  2025年南京市</w:t>
      </w:r>
      <w:r>
        <w:rPr>
          <w:rFonts w:hint="eastAsia" w:ascii="Times New Roman" w:hAnsi="Times New Roman" w:eastAsia="方正仿宋简体" w:cs="Times New Roman"/>
          <w:b/>
          <w:color w:val="000000"/>
          <w:sz w:val="28"/>
          <w:szCs w:val="28"/>
          <w:lang w:val="en-US" w:eastAsia="zh-CN"/>
        </w:rPr>
        <w:t>司法局</w:t>
      </w:r>
      <w:r>
        <w:rPr>
          <w:rFonts w:ascii="Times New Roman" w:hAnsi="Times New Roman" w:eastAsia="方正仿宋简体" w:cs="Times New Roman"/>
          <w:b/>
          <w:color w:val="000000"/>
          <w:sz w:val="28"/>
          <w:szCs w:val="28"/>
        </w:rPr>
        <w:t>专项资金预算安排与支出情况</w:t>
      </w:r>
    </w:p>
    <w:p>
      <w:pPr>
        <w:spacing w:line="600" w:lineRule="exact"/>
        <w:ind w:right="633"/>
        <w:jc w:val="right"/>
        <w:rPr>
          <w:rFonts w:ascii="Times New Roman" w:hAnsi="Times New Roman" w:eastAsia="方正仿宋简体" w:cs="Times New Roman"/>
          <w:b/>
          <w:color w:val="000000"/>
          <w:sz w:val="28"/>
          <w:szCs w:val="28"/>
        </w:rPr>
      </w:pPr>
      <w:r>
        <w:rPr>
          <w:rFonts w:ascii="Times New Roman" w:hAnsi="Times New Roman" w:eastAsia="方正仿宋简体" w:cs="Times New Roman"/>
          <w:b/>
          <w:color w:val="000000"/>
          <w:sz w:val="28"/>
          <w:szCs w:val="28"/>
        </w:rPr>
        <w:t>单位：万元</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6"/>
        <w:gridCol w:w="1059"/>
        <w:gridCol w:w="1227"/>
        <w:gridCol w:w="1059"/>
        <w:gridCol w:w="1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2569" w:type="pct"/>
            <w:noWrap/>
            <w:vAlign w:val="center"/>
          </w:tcPr>
          <w:p>
            <w:pPr>
              <w:spacing w:line="600" w:lineRule="exact"/>
              <w:jc w:val="center"/>
              <w:rPr>
                <w:rFonts w:ascii="Times New Roman" w:hAnsi="Times New Roman" w:eastAsia="方正仿宋简体" w:cs="Times New Roman"/>
                <w:bCs/>
                <w:color w:val="000000"/>
                <w:sz w:val="28"/>
                <w:szCs w:val="28"/>
              </w:rPr>
            </w:pPr>
            <w:r>
              <w:rPr>
                <w:rFonts w:ascii="Times New Roman" w:hAnsi="Times New Roman" w:eastAsia="方正仿宋简体" w:cs="Times New Roman"/>
                <w:bCs/>
                <w:color w:val="000000"/>
                <w:sz w:val="28"/>
                <w:szCs w:val="28"/>
              </w:rPr>
              <w:t>项目名称</w:t>
            </w:r>
          </w:p>
        </w:tc>
        <w:tc>
          <w:tcPr>
            <w:tcW w:w="584" w:type="pct"/>
            <w:noWrap/>
            <w:vAlign w:val="center"/>
          </w:tcPr>
          <w:p>
            <w:pPr>
              <w:spacing w:line="600" w:lineRule="exact"/>
              <w:jc w:val="center"/>
              <w:rPr>
                <w:rFonts w:ascii="Times New Roman" w:hAnsi="Times New Roman" w:eastAsia="方正仿宋简体" w:cs="Times New Roman"/>
                <w:bCs/>
                <w:color w:val="000000"/>
                <w:sz w:val="28"/>
                <w:szCs w:val="28"/>
              </w:rPr>
            </w:pPr>
            <w:r>
              <w:rPr>
                <w:rFonts w:ascii="Times New Roman" w:hAnsi="Times New Roman" w:eastAsia="方正仿宋简体" w:cs="Times New Roman"/>
                <w:bCs/>
                <w:color w:val="000000"/>
                <w:sz w:val="28"/>
                <w:szCs w:val="28"/>
              </w:rPr>
              <w:t>预算安排数</w:t>
            </w:r>
          </w:p>
        </w:tc>
        <w:tc>
          <w:tcPr>
            <w:tcW w:w="677" w:type="pct"/>
            <w:noWrap/>
            <w:vAlign w:val="center"/>
          </w:tcPr>
          <w:p>
            <w:pPr>
              <w:spacing w:line="600" w:lineRule="exact"/>
              <w:jc w:val="center"/>
              <w:rPr>
                <w:rFonts w:ascii="Times New Roman" w:hAnsi="Times New Roman" w:eastAsia="方正仿宋简体" w:cs="Times New Roman"/>
                <w:bCs/>
                <w:color w:val="000000"/>
                <w:sz w:val="28"/>
                <w:szCs w:val="28"/>
              </w:rPr>
            </w:pPr>
            <w:r>
              <w:rPr>
                <w:rFonts w:ascii="Times New Roman" w:hAnsi="Times New Roman" w:eastAsia="方正仿宋简体" w:cs="Times New Roman"/>
                <w:bCs/>
                <w:color w:val="000000"/>
                <w:sz w:val="28"/>
                <w:szCs w:val="28"/>
              </w:rPr>
              <w:t>调整后预算数</w:t>
            </w:r>
          </w:p>
        </w:tc>
        <w:tc>
          <w:tcPr>
            <w:tcW w:w="584" w:type="pct"/>
            <w:noWrap/>
            <w:vAlign w:val="center"/>
          </w:tcPr>
          <w:p>
            <w:pPr>
              <w:spacing w:line="600" w:lineRule="exact"/>
              <w:jc w:val="center"/>
              <w:rPr>
                <w:rFonts w:ascii="Times New Roman" w:hAnsi="Times New Roman" w:eastAsia="方正仿宋简体" w:cs="Times New Roman"/>
                <w:bCs/>
                <w:color w:val="000000"/>
                <w:sz w:val="28"/>
                <w:szCs w:val="28"/>
              </w:rPr>
            </w:pPr>
            <w:r>
              <w:rPr>
                <w:rFonts w:ascii="Times New Roman" w:hAnsi="Times New Roman" w:eastAsia="方正仿宋简体" w:cs="Times New Roman"/>
                <w:bCs/>
                <w:color w:val="000000"/>
                <w:sz w:val="28"/>
                <w:szCs w:val="28"/>
              </w:rPr>
              <w:t>实际支出数</w:t>
            </w:r>
          </w:p>
        </w:tc>
        <w:tc>
          <w:tcPr>
            <w:tcW w:w="584" w:type="pct"/>
            <w:noWrap/>
            <w:vAlign w:val="center"/>
          </w:tcPr>
          <w:p>
            <w:pPr>
              <w:spacing w:line="600" w:lineRule="exact"/>
              <w:jc w:val="center"/>
              <w:rPr>
                <w:rFonts w:ascii="Times New Roman" w:hAnsi="Times New Roman" w:eastAsia="方正仿宋简体" w:cs="Times New Roman"/>
                <w:bCs/>
                <w:color w:val="000000"/>
                <w:sz w:val="28"/>
                <w:szCs w:val="28"/>
              </w:rPr>
            </w:pPr>
            <w:r>
              <w:rPr>
                <w:rFonts w:ascii="Times New Roman" w:hAnsi="Times New Roman" w:eastAsia="方正仿宋简体" w:cs="Times New Roman"/>
                <w:bCs/>
                <w:color w:val="000000"/>
                <w:sz w:val="28"/>
                <w:szCs w:val="28"/>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569" w:type="pct"/>
            <w:noWrap/>
            <w:vAlign w:val="center"/>
          </w:tcPr>
          <w:p>
            <w:pPr>
              <w:spacing w:line="600" w:lineRule="exact"/>
              <w:jc w:val="center"/>
              <w:rPr>
                <w:rFonts w:hint="default" w:ascii="Times New Roman" w:hAnsi="Times New Roman" w:eastAsia="方正仿宋简体" w:cs="Times New Roman"/>
                <w:bCs/>
                <w:color w:val="000000"/>
                <w:sz w:val="28"/>
                <w:szCs w:val="28"/>
                <w:lang w:val="en-US" w:eastAsia="zh-CN"/>
              </w:rPr>
            </w:pPr>
            <w:r>
              <w:rPr>
                <w:rFonts w:hint="eastAsia" w:ascii="Times New Roman" w:hAnsi="Times New Roman" w:eastAsia="方正仿宋简体" w:cs="Times New Roman"/>
                <w:bCs/>
                <w:color w:val="000000"/>
                <w:sz w:val="28"/>
                <w:szCs w:val="28"/>
                <w:lang w:val="en-US" w:eastAsia="zh-CN"/>
              </w:rPr>
              <w:t>城市警备防务与基层政法补助-社区矫正和人民调解补助资金</w:t>
            </w:r>
          </w:p>
        </w:tc>
        <w:tc>
          <w:tcPr>
            <w:tcW w:w="584" w:type="pct"/>
            <w:noWrap/>
            <w:vAlign w:val="center"/>
          </w:tcPr>
          <w:p>
            <w:pPr>
              <w:spacing w:line="600" w:lineRule="exact"/>
              <w:jc w:val="center"/>
              <w:rPr>
                <w:rFonts w:hint="default" w:ascii="Times New Roman" w:hAnsi="Times New Roman" w:eastAsia="方正仿宋简体" w:cs="Times New Roman"/>
                <w:bCs/>
                <w:color w:val="000000"/>
                <w:sz w:val="28"/>
                <w:szCs w:val="28"/>
                <w:lang w:val="en-US" w:eastAsia="zh-CN"/>
              </w:rPr>
            </w:pPr>
            <w:r>
              <w:rPr>
                <w:rFonts w:hint="eastAsia" w:ascii="Times New Roman" w:hAnsi="Times New Roman" w:eastAsia="方正仿宋简体" w:cs="Times New Roman"/>
                <w:bCs/>
                <w:color w:val="000000"/>
                <w:sz w:val="28"/>
                <w:szCs w:val="28"/>
                <w:lang w:val="en-US" w:eastAsia="zh-CN"/>
              </w:rPr>
              <w:t>384</w:t>
            </w:r>
          </w:p>
        </w:tc>
        <w:tc>
          <w:tcPr>
            <w:tcW w:w="677" w:type="pct"/>
            <w:noWrap/>
            <w:vAlign w:val="center"/>
          </w:tcPr>
          <w:p>
            <w:pPr>
              <w:spacing w:line="600" w:lineRule="exact"/>
              <w:jc w:val="center"/>
              <w:rPr>
                <w:rFonts w:hint="eastAsia" w:ascii="Times New Roman" w:hAnsi="Times New Roman" w:eastAsia="方正仿宋简体" w:cs="Times New Roman"/>
                <w:bCs/>
                <w:color w:val="000000"/>
                <w:sz w:val="28"/>
                <w:szCs w:val="28"/>
                <w:lang w:val="en-US" w:eastAsia="zh-CN"/>
              </w:rPr>
            </w:pPr>
            <w:r>
              <w:rPr>
                <w:rFonts w:hint="eastAsia" w:ascii="Times New Roman" w:hAnsi="Times New Roman" w:eastAsia="方正仿宋简体" w:cs="Times New Roman"/>
                <w:bCs/>
                <w:color w:val="000000"/>
                <w:sz w:val="28"/>
                <w:szCs w:val="28"/>
                <w:lang w:val="en-US" w:eastAsia="zh-CN"/>
              </w:rPr>
              <w:t>384</w:t>
            </w:r>
          </w:p>
        </w:tc>
        <w:tc>
          <w:tcPr>
            <w:tcW w:w="584" w:type="pct"/>
            <w:noWrap/>
            <w:vAlign w:val="center"/>
          </w:tcPr>
          <w:p>
            <w:pPr>
              <w:spacing w:line="600" w:lineRule="exact"/>
              <w:jc w:val="center"/>
              <w:rPr>
                <w:rFonts w:hint="eastAsia" w:ascii="Times New Roman" w:hAnsi="Times New Roman" w:eastAsia="方正仿宋简体" w:cs="Times New Roman"/>
                <w:bCs/>
                <w:color w:val="000000"/>
                <w:sz w:val="28"/>
                <w:szCs w:val="28"/>
                <w:lang w:val="en-US" w:eastAsia="zh-CN"/>
              </w:rPr>
            </w:pPr>
            <w:r>
              <w:rPr>
                <w:rFonts w:hint="eastAsia" w:ascii="Times New Roman" w:hAnsi="Times New Roman" w:eastAsia="方正仿宋简体" w:cs="Times New Roman"/>
                <w:bCs/>
                <w:color w:val="000000"/>
                <w:sz w:val="28"/>
                <w:szCs w:val="28"/>
                <w:lang w:val="en-US" w:eastAsia="zh-CN"/>
              </w:rPr>
              <w:t>384</w:t>
            </w:r>
          </w:p>
        </w:tc>
        <w:tc>
          <w:tcPr>
            <w:tcW w:w="584" w:type="pct"/>
            <w:noWrap/>
            <w:vAlign w:val="center"/>
          </w:tcPr>
          <w:p>
            <w:pPr>
              <w:spacing w:line="600" w:lineRule="exact"/>
              <w:jc w:val="center"/>
              <w:rPr>
                <w:rFonts w:hint="eastAsia" w:ascii="Times New Roman" w:hAnsi="Times New Roman" w:eastAsia="方正仿宋简体" w:cs="Times New Roman"/>
                <w:bCs/>
                <w:color w:val="000000"/>
                <w:sz w:val="28"/>
                <w:szCs w:val="28"/>
                <w:lang w:val="en-US" w:eastAsia="zh-CN"/>
              </w:rPr>
            </w:pPr>
            <w:r>
              <w:rPr>
                <w:rFonts w:hint="eastAsia" w:ascii="Times New Roman" w:hAnsi="Times New Roman" w:eastAsia="方正仿宋简体" w:cs="Times New Roman"/>
                <w:bCs/>
                <w:color w:val="000000"/>
                <w:sz w:val="28"/>
                <w:szCs w:val="28"/>
                <w:lang w:val="en-US" w:eastAsia="zh-CN"/>
              </w:rPr>
              <w:t>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569" w:type="pct"/>
            <w:vAlign w:val="center"/>
          </w:tcPr>
          <w:p>
            <w:pPr>
              <w:spacing w:line="600" w:lineRule="exact"/>
              <w:jc w:val="center"/>
              <w:rPr>
                <w:rFonts w:ascii="Times New Roman" w:hAnsi="Times New Roman" w:eastAsia="方正仿宋简体" w:cs="Times New Roman"/>
                <w:bCs/>
                <w:color w:val="000000"/>
                <w:sz w:val="28"/>
                <w:szCs w:val="28"/>
              </w:rPr>
            </w:pPr>
            <w:r>
              <w:rPr>
                <w:rFonts w:ascii="Times New Roman" w:hAnsi="Times New Roman" w:eastAsia="方正仿宋简体" w:cs="Times New Roman"/>
                <w:bCs/>
                <w:color w:val="000000"/>
                <w:sz w:val="28"/>
                <w:szCs w:val="28"/>
              </w:rPr>
              <w:t>合计</w:t>
            </w:r>
          </w:p>
        </w:tc>
        <w:tc>
          <w:tcPr>
            <w:tcW w:w="1059" w:type="dxa"/>
            <w:noWrap/>
            <w:vAlign w:val="center"/>
          </w:tcPr>
          <w:p>
            <w:pPr>
              <w:spacing w:line="600" w:lineRule="exact"/>
              <w:jc w:val="center"/>
              <w:rPr>
                <w:rFonts w:ascii="Times New Roman" w:hAnsi="Times New Roman" w:eastAsia="方正仿宋简体" w:cs="Times New Roman"/>
                <w:bCs/>
                <w:color w:val="000000"/>
                <w:sz w:val="28"/>
                <w:szCs w:val="28"/>
              </w:rPr>
            </w:pPr>
            <w:r>
              <w:rPr>
                <w:rFonts w:hint="eastAsia" w:ascii="Times New Roman" w:hAnsi="Times New Roman" w:eastAsia="方正仿宋简体" w:cs="Times New Roman"/>
                <w:bCs/>
                <w:color w:val="000000"/>
                <w:sz w:val="28"/>
                <w:szCs w:val="28"/>
                <w:lang w:val="en-US" w:eastAsia="zh-CN"/>
              </w:rPr>
              <w:t>384</w:t>
            </w:r>
          </w:p>
        </w:tc>
        <w:tc>
          <w:tcPr>
            <w:tcW w:w="1227" w:type="dxa"/>
            <w:noWrap/>
            <w:vAlign w:val="center"/>
          </w:tcPr>
          <w:p>
            <w:pPr>
              <w:spacing w:line="600" w:lineRule="exact"/>
              <w:jc w:val="center"/>
              <w:rPr>
                <w:rFonts w:ascii="Times New Roman" w:hAnsi="Times New Roman" w:eastAsia="方正仿宋简体" w:cs="Times New Roman"/>
                <w:bCs/>
                <w:color w:val="000000"/>
                <w:sz w:val="28"/>
                <w:szCs w:val="28"/>
              </w:rPr>
            </w:pPr>
            <w:r>
              <w:rPr>
                <w:rFonts w:hint="eastAsia" w:ascii="Times New Roman" w:hAnsi="Times New Roman" w:eastAsia="方正仿宋简体" w:cs="Times New Roman"/>
                <w:bCs/>
                <w:color w:val="000000"/>
                <w:sz w:val="28"/>
                <w:szCs w:val="28"/>
                <w:lang w:val="en-US" w:eastAsia="zh-CN"/>
              </w:rPr>
              <w:t>384</w:t>
            </w:r>
          </w:p>
        </w:tc>
        <w:tc>
          <w:tcPr>
            <w:tcW w:w="1059" w:type="dxa"/>
            <w:noWrap/>
            <w:vAlign w:val="center"/>
          </w:tcPr>
          <w:p>
            <w:pPr>
              <w:spacing w:line="600" w:lineRule="exact"/>
              <w:jc w:val="center"/>
              <w:rPr>
                <w:rFonts w:ascii="Times New Roman" w:hAnsi="Times New Roman" w:eastAsia="方正仿宋简体" w:cs="Times New Roman"/>
                <w:bCs/>
                <w:color w:val="000000"/>
                <w:sz w:val="28"/>
                <w:szCs w:val="28"/>
              </w:rPr>
            </w:pPr>
            <w:r>
              <w:rPr>
                <w:rFonts w:hint="eastAsia" w:ascii="Times New Roman" w:hAnsi="Times New Roman" w:eastAsia="方正仿宋简体" w:cs="Times New Roman"/>
                <w:bCs/>
                <w:color w:val="000000"/>
                <w:sz w:val="28"/>
                <w:szCs w:val="28"/>
                <w:lang w:val="en-US" w:eastAsia="zh-CN"/>
              </w:rPr>
              <w:t>384</w:t>
            </w:r>
          </w:p>
        </w:tc>
        <w:tc>
          <w:tcPr>
            <w:tcW w:w="1059" w:type="dxa"/>
            <w:noWrap/>
            <w:vAlign w:val="center"/>
          </w:tcPr>
          <w:p>
            <w:pPr>
              <w:spacing w:line="600" w:lineRule="exact"/>
              <w:jc w:val="center"/>
              <w:rPr>
                <w:rFonts w:ascii="Times New Roman" w:hAnsi="Times New Roman" w:eastAsia="方正仿宋简体" w:cs="Times New Roman"/>
                <w:bCs/>
                <w:color w:val="000000"/>
                <w:sz w:val="28"/>
                <w:szCs w:val="28"/>
              </w:rPr>
            </w:pPr>
            <w:r>
              <w:rPr>
                <w:rFonts w:hint="eastAsia" w:ascii="Times New Roman" w:hAnsi="Times New Roman" w:eastAsia="方正仿宋简体" w:cs="Times New Roman"/>
                <w:bCs/>
                <w:color w:val="000000"/>
                <w:sz w:val="28"/>
                <w:szCs w:val="28"/>
                <w:lang w:val="en-US" w:eastAsia="zh-CN"/>
              </w:rPr>
              <w:t>100 %</w:t>
            </w:r>
          </w:p>
        </w:tc>
      </w:tr>
    </w:tbl>
    <w:p>
      <w:pPr>
        <w:adjustRightInd w:val="0"/>
        <w:snapToGrid w:val="0"/>
        <w:spacing w:line="600" w:lineRule="exact"/>
        <w:ind w:firstLine="640" w:firstLineChars="200"/>
        <w:outlineLvl w:val="1"/>
        <w:rPr>
          <w:rFonts w:ascii="Times New Roman" w:hAnsi="Times New Roman" w:eastAsia="方正楷体简体" w:cs="Times New Roman"/>
          <w:bCs/>
          <w:color w:val="000000"/>
          <w:sz w:val="32"/>
          <w:szCs w:val="32"/>
        </w:rPr>
      </w:pPr>
      <w:bookmarkStart w:id="4" w:name="_Toc178059778"/>
      <w:r>
        <w:rPr>
          <w:rFonts w:ascii="Times New Roman" w:hAnsi="Times New Roman" w:eastAsia="方正楷体简体" w:cs="Times New Roman"/>
          <w:bCs/>
          <w:color w:val="000000"/>
          <w:sz w:val="32"/>
          <w:szCs w:val="32"/>
        </w:rPr>
        <w:t>（三）单位绩效目标</w:t>
      </w:r>
      <w:bookmarkEnd w:id="3"/>
      <w:bookmarkEnd w:id="4"/>
    </w:p>
    <w:p>
      <w:pPr>
        <w:pStyle w:val="43"/>
        <w:spacing w:after="0" w:line="600" w:lineRule="exact"/>
        <w:ind w:firstLine="640"/>
        <w:jc w:val="both"/>
        <w:rPr>
          <w:rFonts w:ascii="Times New Roman" w:hAnsi="Times New Roman" w:eastAsia="仿宋_GB2312" w:cs="Times New Roman"/>
          <w:color w:val="000000"/>
          <w:kern w:val="2"/>
          <w:szCs w:val="32"/>
          <w:lang w:val="en-US" w:eastAsia="zh-CN" w:bidi="ar-SA"/>
        </w:rPr>
      </w:pPr>
      <w:bookmarkStart w:id="5" w:name="_Toc149663086"/>
      <w:bookmarkStart w:id="6" w:name="_Toc148718624"/>
      <w:bookmarkStart w:id="7" w:name="_Toc149553829"/>
      <w:r>
        <w:rPr>
          <w:rFonts w:ascii="Times New Roman" w:hAnsi="Times New Roman" w:eastAsia="仿宋_GB2312" w:cs="Times New Roman"/>
          <w:color w:val="000000"/>
          <w:szCs w:val="32"/>
          <w:lang w:eastAsia="zh-CN"/>
        </w:rPr>
        <w:t>1.</w:t>
      </w:r>
      <w:r>
        <w:rPr>
          <w:rFonts w:ascii="Times New Roman" w:hAnsi="Times New Roman" w:eastAsia="仿宋_GB2312" w:cs="Times New Roman"/>
          <w:color w:val="000000"/>
          <w:kern w:val="2"/>
          <w:szCs w:val="32"/>
          <w:lang w:val="en-US" w:eastAsia="zh-CN" w:bidi="ar-SA"/>
        </w:rPr>
        <w:t>中长期目标</w:t>
      </w:r>
    </w:p>
    <w:bookmarkEnd w:id="5"/>
    <w:bookmarkEnd w:id="6"/>
    <w:bookmarkEnd w:id="7"/>
    <w:p>
      <w:pPr>
        <w:pStyle w:val="43"/>
        <w:adjustRightInd w:val="0"/>
        <w:snapToGrid w:val="0"/>
        <w:ind w:firstLine="640"/>
        <w:rPr>
          <w:rFonts w:ascii="仿宋_GB2312" w:eastAsia="仿宋_GB2312"/>
          <w:color w:val="auto"/>
          <w:szCs w:val="32"/>
        </w:rPr>
      </w:pPr>
      <w:bookmarkStart w:id="8" w:name="_Toc149553831"/>
      <w:bookmarkStart w:id="9" w:name="_Toc149663088"/>
      <w:bookmarkStart w:id="10" w:name="_Toc148718626"/>
      <w:r>
        <w:rPr>
          <w:rFonts w:hint="eastAsia" w:ascii="仿宋_GB2312" w:eastAsia="仿宋_GB2312"/>
          <w:color w:val="auto"/>
          <w:szCs w:val="32"/>
        </w:rPr>
        <w:t>以全面推进依法治市为统揽，扎实履行行政立法、</w:t>
      </w:r>
      <w:r>
        <w:rPr>
          <w:rFonts w:hint="eastAsia" w:ascii="仿宋_GB2312" w:eastAsia="仿宋_GB2312"/>
          <w:color w:val="auto"/>
          <w:szCs w:val="32"/>
          <w:lang w:val="en-US" w:eastAsia="zh-CN"/>
        </w:rPr>
        <w:t>依法行政</w:t>
      </w:r>
      <w:r>
        <w:rPr>
          <w:rFonts w:hint="eastAsia" w:ascii="仿宋_GB2312" w:eastAsia="仿宋_GB2312"/>
          <w:color w:val="auto"/>
          <w:szCs w:val="32"/>
        </w:rPr>
        <w:t>、刑</w:t>
      </w:r>
      <w:r>
        <w:rPr>
          <w:rFonts w:hint="eastAsia" w:ascii="仿宋_GB2312" w:eastAsia="仿宋_GB2312"/>
          <w:color w:val="auto"/>
          <w:szCs w:val="32"/>
          <w:lang w:val="en-US" w:eastAsia="zh-CN"/>
        </w:rPr>
        <w:t>罚</w:t>
      </w:r>
      <w:r>
        <w:rPr>
          <w:rFonts w:hint="eastAsia" w:ascii="仿宋_GB2312" w:eastAsia="仿宋_GB2312"/>
          <w:color w:val="auto"/>
          <w:szCs w:val="32"/>
        </w:rPr>
        <w:t>执行、公共法律服务</w:t>
      </w:r>
      <w:r>
        <w:rPr>
          <w:rFonts w:hint="eastAsia" w:ascii="仿宋_GB2312" w:eastAsia="仿宋_GB2312"/>
          <w:color w:val="auto"/>
          <w:szCs w:val="32"/>
          <w:lang w:eastAsia="zh-CN"/>
        </w:rPr>
        <w:t>、</w:t>
      </w:r>
      <w:r>
        <w:rPr>
          <w:rFonts w:hint="eastAsia" w:ascii="仿宋_GB2312" w:eastAsia="仿宋_GB2312"/>
          <w:color w:val="auto"/>
          <w:szCs w:val="32"/>
          <w:lang w:val="en-US" w:eastAsia="zh-CN"/>
        </w:rPr>
        <w:t>涉外法治</w:t>
      </w:r>
      <w:r>
        <w:rPr>
          <w:rFonts w:hint="eastAsia" w:ascii="仿宋_GB2312" w:eastAsia="仿宋_GB2312"/>
          <w:color w:val="auto"/>
          <w:szCs w:val="32"/>
        </w:rPr>
        <w:t>等“</w:t>
      </w:r>
      <w:r>
        <w:rPr>
          <w:rFonts w:hint="eastAsia" w:ascii="仿宋_GB2312" w:eastAsia="仿宋_GB2312"/>
          <w:color w:val="auto"/>
          <w:szCs w:val="32"/>
          <w:lang w:val="en-US" w:eastAsia="zh-CN"/>
        </w:rPr>
        <w:t>五</w:t>
      </w:r>
      <w:r>
        <w:rPr>
          <w:rFonts w:hint="eastAsia" w:ascii="仿宋_GB2312" w:eastAsia="仿宋_GB2312"/>
          <w:color w:val="auto"/>
          <w:szCs w:val="32"/>
        </w:rPr>
        <w:t>大职能”，健全科学民主的行政立法工作体系、严密规范的行政执法监督指导体系、精准有效的法治宣传体系、均等普惠的公共法律服务体系、多元高效的矛盾纠纷化解体系、一体化运行的刑事执行体系，着力提升队伍专业化水平，加大信息化、标准化、社会化建设力度。努力在新起点上开创司法行政工作新局面 ，为推动高质量发展走在前列、建设“强富美高”新南京做出新的更大贡献。</w:t>
      </w:r>
    </w:p>
    <w:p>
      <w:pPr>
        <w:pStyle w:val="43"/>
        <w:spacing w:after="0" w:line="600" w:lineRule="exact"/>
        <w:ind w:firstLine="640"/>
        <w:jc w:val="both"/>
        <w:rPr>
          <w:rFonts w:ascii="Times New Roman" w:hAnsi="Times New Roman" w:eastAsia="仿宋_GB2312" w:cs="Times New Roman"/>
          <w:color w:val="000000"/>
          <w:kern w:val="2"/>
          <w:szCs w:val="32"/>
          <w:lang w:val="en-US" w:eastAsia="zh-CN" w:bidi="ar-SA"/>
        </w:rPr>
      </w:pPr>
      <w:r>
        <w:rPr>
          <w:rFonts w:ascii="Times New Roman" w:hAnsi="Times New Roman" w:eastAsia="仿宋_GB2312" w:cs="Times New Roman"/>
          <w:color w:val="000000"/>
          <w:szCs w:val="32"/>
          <w:lang w:val="en-US" w:eastAsia="zh-CN"/>
        </w:rPr>
        <w:t>2</w:t>
      </w:r>
      <w:r>
        <w:rPr>
          <w:rFonts w:ascii="Times New Roman" w:hAnsi="Times New Roman" w:eastAsia="仿宋_GB2312" w:cs="Times New Roman"/>
          <w:color w:val="000000"/>
          <w:szCs w:val="32"/>
          <w:lang w:eastAsia="zh-CN"/>
        </w:rPr>
        <w:t>.</w:t>
      </w:r>
      <w:r>
        <w:rPr>
          <w:rFonts w:ascii="Times New Roman" w:hAnsi="Times New Roman" w:eastAsia="仿宋_GB2312" w:cs="Times New Roman"/>
          <w:color w:val="000000"/>
          <w:kern w:val="2"/>
          <w:szCs w:val="32"/>
          <w:lang w:val="en-US" w:eastAsia="zh-CN" w:bidi="ar-SA"/>
        </w:rPr>
        <w:t>年度绩效目标</w:t>
      </w:r>
      <w:bookmarkEnd w:id="8"/>
      <w:bookmarkEnd w:id="9"/>
      <w:bookmarkEnd w:id="10"/>
    </w:p>
    <w:p>
      <w:pPr>
        <w:pStyle w:val="49"/>
        <w:spacing w:line="560" w:lineRule="exact"/>
        <w:ind w:firstLine="640" w:firstLineChars="200"/>
        <w:rPr>
          <w:rFonts w:hint="eastAsia" w:ascii="方正仿宋_GBK" w:eastAsia="方正仿宋_GBK"/>
          <w:color w:val="000000"/>
          <w:sz w:val="32"/>
          <w:szCs w:val="32"/>
        </w:rPr>
      </w:pPr>
      <w:r>
        <w:rPr>
          <w:rFonts w:ascii="Times New Roman" w:hAnsi="Times New Roman" w:eastAsia="仿宋_GB2312" w:cs="Times New Roman"/>
          <w:color w:val="000000"/>
          <w:sz w:val="32"/>
          <w:szCs w:val="32"/>
        </w:rPr>
        <w:t>根据南京市</w:t>
      </w:r>
      <w:r>
        <w:rPr>
          <w:rFonts w:hint="eastAsia" w:eastAsia="仿宋_GB2312" w:cs="Times New Roman"/>
          <w:color w:val="000000"/>
          <w:kern w:val="0"/>
          <w:sz w:val="32"/>
          <w:szCs w:val="32"/>
          <w:lang w:val="en-US" w:eastAsia="zh-CN"/>
        </w:rPr>
        <w:t>司法局</w:t>
      </w:r>
      <w:r>
        <w:rPr>
          <w:rFonts w:ascii="Times New Roman" w:hAnsi="Times New Roman" w:eastAsia="仿宋_GB2312" w:cs="Times New Roman"/>
          <w:color w:val="000000"/>
          <w:sz w:val="32"/>
          <w:szCs w:val="32"/>
        </w:rPr>
        <w:t>部门职责、年度主要工作任务、年度工作要点，2025年南京市</w:t>
      </w:r>
      <w:r>
        <w:rPr>
          <w:rFonts w:hint="eastAsia" w:eastAsia="仿宋_GB2312" w:cs="Times New Roman"/>
          <w:color w:val="000000"/>
          <w:kern w:val="0"/>
          <w:sz w:val="32"/>
          <w:szCs w:val="32"/>
          <w:lang w:val="en-US" w:eastAsia="zh-CN"/>
        </w:rPr>
        <w:t>司法局</w:t>
      </w:r>
      <w:r>
        <w:rPr>
          <w:rFonts w:ascii="Times New Roman" w:hAnsi="Times New Roman" w:eastAsia="仿宋_GB2312" w:cs="Times New Roman"/>
          <w:color w:val="000000"/>
          <w:sz w:val="32"/>
          <w:szCs w:val="32"/>
        </w:rPr>
        <w:t>的年度目标主要聚焦在</w:t>
      </w:r>
      <w:r>
        <w:rPr>
          <w:rFonts w:eastAsia="方正仿宋_GBK"/>
          <w:color w:val="000000"/>
          <w:sz w:val="32"/>
          <w:szCs w:val="32"/>
        </w:rPr>
        <w:t>坚持以习近平新时代中国特色社会主义思想为指导，</w:t>
      </w:r>
      <w:r>
        <w:rPr>
          <w:rFonts w:hint="eastAsia" w:eastAsia="方正仿宋_GBK"/>
          <w:color w:val="000000"/>
          <w:sz w:val="32"/>
          <w:szCs w:val="32"/>
        </w:rPr>
        <w:t>深入学习贯彻党的二十届三中全会精神和习近平法治思想</w:t>
      </w:r>
      <w:r>
        <w:rPr>
          <w:rFonts w:eastAsia="方正仿宋_GBK"/>
          <w:color w:val="000000"/>
          <w:sz w:val="32"/>
          <w:szCs w:val="32"/>
        </w:rPr>
        <w:t>，</w:t>
      </w:r>
      <w:r>
        <w:rPr>
          <w:rFonts w:hint="eastAsia" w:eastAsia="方正仿宋_GBK"/>
          <w:color w:val="000000"/>
          <w:sz w:val="32"/>
          <w:szCs w:val="32"/>
        </w:rPr>
        <w:t>紧扣深化“三争”实践这条主线，围绕“</w:t>
      </w:r>
      <w:bookmarkStart w:id="11" w:name="OLE_LINK9"/>
      <w:bookmarkStart w:id="12" w:name="OLE_LINK8"/>
      <w:r>
        <w:rPr>
          <w:rFonts w:hint="eastAsia" w:eastAsia="方正仿宋_GBK"/>
          <w:color w:val="000000"/>
          <w:sz w:val="32"/>
          <w:szCs w:val="32"/>
        </w:rPr>
        <w:t>抓改革、促发展、护稳定、惠民生</w:t>
      </w:r>
      <w:bookmarkEnd w:id="11"/>
      <w:bookmarkEnd w:id="12"/>
      <w:r>
        <w:rPr>
          <w:rFonts w:hint="eastAsia" w:eastAsia="方正仿宋_GBK"/>
          <w:color w:val="000000"/>
          <w:sz w:val="32"/>
          <w:szCs w:val="32"/>
        </w:rPr>
        <w:t>”四个方面，进一步</w:t>
      </w:r>
      <w:r>
        <w:rPr>
          <w:rFonts w:eastAsia="方正仿宋_GBK"/>
          <w:color w:val="000000"/>
          <w:sz w:val="32"/>
          <w:szCs w:val="32"/>
        </w:rPr>
        <w:t>推动全面依法治市和司法行政工作提质增效，</w:t>
      </w:r>
      <w:r>
        <w:rPr>
          <w:rFonts w:hint="eastAsia" w:eastAsia="方正仿宋_GBK"/>
          <w:color w:val="000000"/>
          <w:sz w:val="32"/>
          <w:szCs w:val="32"/>
        </w:rPr>
        <w:t>努</w:t>
      </w:r>
      <w:r>
        <w:rPr>
          <w:rFonts w:hint="eastAsia" w:ascii="方正仿宋_GBK" w:hAnsi="Arial" w:eastAsia="方正仿宋_GBK" w:cs="Arial"/>
          <w:color w:val="000000"/>
          <w:sz w:val="32"/>
          <w:szCs w:val="32"/>
          <w:shd w:val="clear" w:color="auto" w:fill="FFFFFF"/>
        </w:rPr>
        <w:t>力建设更高水平的平安南京、法治南京</w:t>
      </w:r>
      <w:r>
        <w:rPr>
          <w:rFonts w:hint="eastAsia" w:ascii="方正仿宋_GBK" w:eastAsia="方正仿宋_GBK"/>
          <w:color w:val="000000"/>
          <w:sz w:val="32"/>
          <w:szCs w:val="32"/>
        </w:rPr>
        <w:t>。</w:t>
      </w:r>
    </w:p>
    <w:p>
      <w:pPr>
        <w:adjustRightInd w:val="0"/>
        <w:snapToGrid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详见表3。</w:t>
      </w:r>
    </w:p>
    <w:p>
      <w:pPr>
        <w:spacing w:line="600" w:lineRule="exact"/>
        <w:jc w:val="center"/>
        <w:rPr>
          <w:rFonts w:ascii="Times New Roman" w:hAnsi="Times New Roman" w:eastAsia="方正仿宋简体" w:cs="Times New Roman"/>
          <w:b/>
          <w:color w:val="000000"/>
          <w:sz w:val="28"/>
          <w:szCs w:val="28"/>
        </w:rPr>
      </w:pPr>
      <w:r>
        <w:rPr>
          <w:rFonts w:ascii="Times New Roman" w:hAnsi="Times New Roman" w:eastAsia="方正仿宋简体" w:cs="Times New Roman"/>
          <w:b/>
          <w:color w:val="000000"/>
          <w:sz w:val="28"/>
          <w:szCs w:val="28"/>
        </w:rPr>
        <w:t>表3    2025年南京市</w:t>
      </w:r>
      <w:r>
        <w:rPr>
          <w:rFonts w:hint="eastAsia" w:ascii="Times New Roman" w:hAnsi="Times New Roman" w:eastAsia="方正仿宋简体" w:cs="Times New Roman"/>
          <w:b/>
          <w:color w:val="000000"/>
          <w:sz w:val="28"/>
          <w:szCs w:val="28"/>
          <w:lang w:eastAsia="zh-CN"/>
        </w:rPr>
        <w:t>司法</w:t>
      </w:r>
      <w:r>
        <w:rPr>
          <w:rFonts w:ascii="Times New Roman" w:hAnsi="Times New Roman" w:eastAsia="方正仿宋简体" w:cs="Times New Roman"/>
          <w:b/>
          <w:color w:val="000000"/>
          <w:sz w:val="28"/>
          <w:szCs w:val="28"/>
        </w:rPr>
        <w:t>局年度目标</w:t>
      </w:r>
    </w:p>
    <w:tbl>
      <w:tblPr>
        <w:tblW w:w="9698" w:type="dxa"/>
        <w:tblInd w:w="0" w:type="dxa"/>
        <w:shd w:val="clear"/>
        <w:tblLayout w:type="autofit"/>
        <w:tblCellMar>
          <w:top w:w="0" w:type="dxa"/>
          <w:left w:w="0" w:type="dxa"/>
          <w:bottom w:w="0" w:type="dxa"/>
          <w:right w:w="0" w:type="dxa"/>
        </w:tblCellMar>
      </w:tblPr>
      <w:tblGrid>
        <w:gridCol w:w="698"/>
        <w:gridCol w:w="1195"/>
        <w:gridCol w:w="1996"/>
        <w:gridCol w:w="1857"/>
        <w:gridCol w:w="1415"/>
        <w:gridCol w:w="2537"/>
      </w:tblGrid>
      <w:tr>
        <w:tblPrEx>
          <w:shd w:val="clear"/>
          <w:tblCellMar>
            <w:top w:w="0" w:type="dxa"/>
            <w:left w:w="0" w:type="dxa"/>
            <w:bottom w:w="0" w:type="dxa"/>
            <w:right w:w="0" w:type="dxa"/>
          </w:tblCellMar>
        </w:tblPrEx>
        <w:trPr>
          <w:trHeight w:val="408" w:hRule="atLeast"/>
        </w:trPr>
        <w:tc>
          <w:tcPr>
            <w:tcW w:w="6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bookmarkStart w:id="33" w:name="_GoBack"/>
            <w:r>
              <w:rPr>
                <w:rFonts w:hint="eastAsia" w:ascii="宋体" w:hAnsi="宋体" w:eastAsia="宋体" w:cs="宋体"/>
                <w:i w:val="0"/>
                <w:color w:val="000000"/>
                <w:kern w:val="0"/>
                <w:sz w:val="24"/>
                <w:szCs w:val="24"/>
                <w:u w:val="none"/>
                <w:bdr w:val="none" w:color="auto" w:sz="0" w:space="0"/>
                <w:lang w:val="en-US" w:eastAsia="zh-CN" w:bidi="ar"/>
              </w:rPr>
              <w:t>一级指标</w:t>
            </w:r>
          </w:p>
        </w:tc>
        <w:tc>
          <w:tcPr>
            <w:tcW w:w="119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二级指标</w:t>
            </w:r>
          </w:p>
        </w:tc>
        <w:tc>
          <w:tcPr>
            <w:tcW w:w="1996"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重点工作</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三级指标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半年指标值</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全年指标值</w:t>
            </w:r>
          </w:p>
        </w:tc>
      </w:tr>
      <w:tr>
        <w:tblPrEx>
          <w:shd w:val="clear"/>
          <w:tblCellMar>
            <w:top w:w="0" w:type="dxa"/>
            <w:left w:w="0" w:type="dxa"/>
            <w:bottom w:w="0" w:type="dxa"/>
            <w:right w:w="0" w:type="dxa"/>
          </w:tblCellMar>
        </w:tblPrEx>
        <w:trPr>
          <w:trHeight w:val="393" w:hRule="atLeast"/>
        </w:trPr>
        <w:tc>
          <w:tcPr>
            <w:tcW w:w="698"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履职</w:t>
            </w:r>
          </w:p>
        </w:tc>
        <w:tc>
          <w:tcPr>
            <w:tcW w:w="119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普法宣传和促进法治工作</w:t>
            </w:r>
          </w:p>
        </w:tc>
        <w:tc>
          <w:tcPr>
            <w:tcW w:w="1996"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普法宣传和人民参与促进法治工作。</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调处案件成功率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≥95%</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≥95%</w:t>
            </w:r>
          </w:p>
        </w:tc>
      </w:tr>
      <w:tr>
        <w:tblPrEx>
          <w:shd w:val="clear"/>
          <w:tblCellMar>
            <w:top w:w="0" w:type="dxa"/>
            <w:left w:w="0" w:type="dxa"/>
            <w:bottom w:w="0" w:type="dxa"/>
            <w:right w:w="0" w:type="dxa"/>
          </w:tblCellMar>
        </w:tblPrEx>
        <w:trPr>
          <w:trHeight w:val="393"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调处案件回访率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w:t>
            </w:r>
          </w:p>
        </w:tc>
      </w:tr>
      <w:tr>
        <w:tblPrEx>
          <w:shd w:val="clear"/>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开展金陵大讲堂普法活动</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4次</w:t>
            </w:r>
          </w:p>
        </w:tc>
      </w:tr>
      <w:tr>
        <w:tblPrEx>
          <w:shd w:val="clear"/>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人民监督员参与法治建设次数</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≥250人次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≥500人次</w:t>
            </w:r>
          </w:p>
        </w:tc>
      </w:tr>
      <w:tr>
        <w:tblPrEx>
          <w:shd w:val="clear"/>
          <w:tblCellMar>
            <w:top w:w="0" w:type="dxa"/>
            <w:left w:w="0" w:type="dxa"/>
            <w:bottom w:w="0" w:type="dxa"/>
            <w:right w:w="0" w:type="dxa"/>
          </w:tblCellMar>
        </w:tblPrEx>
        <w:trPr>
          <w:trHeight w:val="1582"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指导、管理社区矫正工作</w:t>
            </w:r>
          </w:p>
        </w:tc>
        <w:tc>
          <w:tcPr>
            <w:tcW w:w="1996"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对社矫对象实施定位监测、视频签到等信息化监管，开展集中教育、个别辅导、心理疏导等教育帮扶，指导建设社矫中心装备设施等。</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社区矫正对象应收尽收率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w:t>
            </w:r>
          </w:p>
        </w:tc>
      </w:tr>
      <w:tr>
        <w:tblPrEx>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依法治市和依法行政工作</w:t>
            </w:r>
          </w:p>
        </w:tc>
        <w:tc>
          <w:tcPr>
            <w:tcW w:w="1996"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全面依法治市重大问题的政策研究，协调有关方面提出全面依法治市中长期规划建议，负责有关重大决策部署督查工作。</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年度立法项目数量</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≥5项</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≥10项</w:t>
            </w:r>
          </w:p>
        </w:tc>
      </w:tr>
      <w:tr>
        <w:tblPrEx>
          <w:shd w:val="clear"/>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专家或法律顾问咨询人次</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＞40人次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＞80人次</w:t>
            </w:r>
          </w:p>
        </w:tc>
      </w:tr>
      <w:tr>
        <w:tblPrEx>
          <w:shd w:val="clear"/>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行政复议案件完成次数</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≥300件</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≥650件</w:t>
            </w:r>
          </w:p>
        </w:tc>
      </w:tr>
      <w:tr>
        <w:tblPrEx>
          <w:shd w:val="clear"/>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执法人员培训轮训次数</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≥1场次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≥2场次</w:t>
            </w:r>
          </w:p>
        </w:tc>
      </w:tr>
      <w:tr>
        <w:tblPrEx>
          <w:shd w:val="clear"/>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公共法律服务工作</w:t>
            </w:r>
          </w:p>
        </w:tc>
        <w:tc>
          <w:tcPr>
            <w:tcW w:w="1996" w:type="dxa"/>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负责拟订公共法律服务体系建设规划并指导实施，统筹和布局城乡、区域法律服务资源。</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法律援助受理案件数</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≥4000件</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≥9000件</w:t>
            </w:r>
          </w:p>
        </w:tc>
      </w:tr>
      <w:tr>
        <w:tblPrEx>
          <w:tblCellMar>
            <w:top w:w="0" w:type="dxa"/>
            <w:left w:w="0" w:type="dxa"/>
            <w:bottom w:w="0" w:type="dxa"/>
            <w:right w:w="0" w:type="dxa"/>
          </w:tblCellMar>
        </w:tblPrEx>
        <w:trPr>
          <w:trHeight w:val="750"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法律援助案件办案质量合格率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100.00%</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100.00%</w:t>
            </w:r>
          </w:p>
        </w:tc>
      </w:tr>
      <w:tr>
        <w:tblPrEx>
          <w:shd w:val="clear"/>
          <w:tblCellMar>
            <w:top w:w="0" w:type="dxa"/>
            <w:left w:w="0" w:type="dxa"/>
            <w:bottom w:w="0" w:type="dxa"/>
            <w:right w:w="0" w:type="dxa"/>
          </w:tblCellMar>
        </w:tblPrEx>
        <w:trPr>
          <w:trHeight w:val="750"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法律援助案件指派及时率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100.00%</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100.00%</w:t>
            </w:r>
          </w:p>
        </w:tc>
      </w:tr>
      <w:tr>
        <w:tblPrEx>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“12348”法律服务队进基层次数</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≥2场次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≥4场次</w:t>
            </w:r>
          </w:p>
        </w:tc>
      </w:tr>
      <w:tr>
        <w:tblPrEx>
          <w:tblCellMar>
            <w:top w:w="0" w:type="dxa"/>
            <w:left w:w="0" w:type="dxa"/>
            <w:bottom w:w="0" w:type="dxa"/>
            <w:right w:w="0" w:type="dxa"/>
          </w:tblCellMar>
        </w:tblPrEx>
        <w:trPr>
          <w:trHeight w:val="408"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国家统一法律职业资格考试南京考区的组织实施工作</w:t>
            </w:r>
          </w:p>
        </w:tc>
        <w:tc>
          <w:tcPr>
            <w:tcW w:w="1996"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负责国家统一法律职业资格考试南京考区的组织实施工作。</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组织法律考试人数</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0人</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＞10000人</w:t>
            </w:r>
          </w:p>
        </w:tc>
      </w:tr>
      <w:tr>
        <w:tblPrEx>
          <w:shd w:val="clear"/>
          <w:tblCellMar>
            <w:top w:w="0" w:type="dxa"/>
            <w:left w:w="0" w:type="dxa"/>
            <w:bottom w:w="0" w:type="dxa"/>
            <w:right w:w="0" w:type="dxa"/>
          </w:tblCellMar>
        </w:tblPrEx>
        <w:trPr>
          <w:trHeight w:val="783"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组织法律考试场次</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0场次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2场次</w:t>
            </w:r>
          </w:p>
        </w:tc>
      </w:tr>
      <w:tr>
        <w:tblPrEx>
          <w:tblCellMar>
            <w:top w:w="0" w:type="dxa"/>
            <w:left w:w="0" w:type="dxa"/>
            <w:bottom w:w="0" w:type="dxa"/>
            <w:right w:w="0" w:type="dxa"/>
          </w:tblCellMar>
        </w:tblPrEx>
        <w:trPr>
          <w:trHeight w:val="494" w:hRule="atLeast"/>
        </w:trPr>
        <w:tc>
          <w:tcPr>
            <w:tcW w:w="6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一级指标</w:t>
            </w:r>
          </w:p>
        </w:tc>
        <w:tc>
          <w:tcPr>
            <w:tcW w:w="3191"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二级指标</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三级指标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半年指标值</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全年指标值</w:t>
            </w:r>
          </w:p>
        </w:tc>
      </w:tr>
      <w:tr>
        <w:tblPrEx>
          <w:shd w:val="clear"/>
          <w:tblCellMar>
            <w:top w:w="0" w:type="dxa"/>
            <w:left w:w="0" w:type="dxa"/>
            <w:bottom w:w="0" w:type="dxa"/>
            <w:right w:w="0" w:type="dxa"/>
          </w:tblCellMar>
        </w:tblPrEx>
        <w:trPr>
          <w:trHeight w:val="494" w:hRule="atLeast"/>
        </w:trPr>
        <w:tc>
          <w:tcPr>
            <w:tcW w:w="698"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效益指标</w:t>
            </w:r>
          </w:p>
        </w:tc>
        <w:tc>
          <w:tcPr>
            <w:tcW w:w="3191"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社会效益</w:t>
            </w: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社区矫正对象在矫期间再犯罪率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≤0.1%</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≤0.1%</w:t>
            </w:r>
          </w:p>
        </w:tc>
      </w:tr>
      <w:tr>
        <w:tblPrEx>
          <w:shd w:val="clear"/>
          <w:tblCellMar>
            <w:top w:w="0" w:type="dxa"/>
            <w:left w:w="0" w:type="dxa"/>
            <w:bottom w:w="0" w:type="dxa"/>
            <w:right w:w="0" w:type="dxa"/>
          </w:tblCellMar>
        </w:tblPrEx>
        <w:trPr>
          <w:trHeight w:val="675"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3191"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新增行政执法人员受训人次</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＞200人次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＞400人次</w:t>
            </w:r>
          </w:p>
        </w:tc>
      </w:tr>
      <w:tr>
        <w:tblPrEx>
          <w:shd w:val="clear"/>
          <w:tblCellMar>
            <w:top w:w="0" w:type="dxa"/>
            <w:left w:w="0" w:type="dxa"/>
            <w:bottom w:w="0" w:type="dxa"/>
            <w:right w:w="0" w:type="dxa"/>
          </w:tblCellMar>
        </w:tblPrEx>
        <w:trPr>
          <w:trHeight w:val="675"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3191"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普法宣传受众人数</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＞50万人次</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＞100万人次</w:t>
            </w:r>
          </w:p>
        </w:tc>
      </w:tr>
      <w:tr>
        <w:tblPrEx>
          <w:shd w:val="clear"/>
          <w:tblCellMar>
            <w:top w:w="0" w:type="dxa"/>
            <w:left w:w="0" w:type="dxa"/>
            <w:bottom w:w="0" w:type="dxa"/>
            <w:right w:w="0" w:type="dxa"/>
          </w:tblCellMar>
        </w:tblPrEx>
        <w:trPr>
          <w:trHeight w:val="494"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3191"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行政复议案件纠错率</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w:t>
            </w:r>
          </w:p>
        </w:tc>
      </w:tr>
      <w:tr>
        <w:tblPrEx>
          <w:shd w:val="clear"/>
          <w:tblCellMar>
            <w:top w:w="0" w:type="dxa"/>
            <w:left w:w="0" w:type="dxa"/>
            <w:bottom w:w="0" w:type="dxa"/>
            <w:right w:w="0" w:type="dxa"/>
          </w:tblCellMar>
        </w:tblPrEx>
        <w:trPr>
          <w:trHeight w:val="494" w:hRule="atLeast"/>
        </w:trPr>
        <w:tc>
          <w:tcPr>
            <w:tcW w:w="698"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满意度指标</w:t>
            </w:r>
          </w:p>
        </w:tc>
        <w:tc>
          <w:tcPr>
            <w:tcW w:w="3191"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服务对象满意度</w:t>
            </w:r>
          </w:p>
        </w:tc>
        <w:tc>
          <w:tcPr>
            <w:tcW w:w="1857" w:type="dxa"/>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接受法律援助的对象满意度</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≥90%</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≥90%</w:t>
            </w:r>
          </w:p>
        </w:tc>
      </w:tr>
      <w:tr>
        <w:tblPrEx>
          <w:shd w:val="clear"/>
          <w:tblCellMar>
            <w:top w:w="0" w:type="dxa"/>
            <w:left w:w="0" w:type="dxa"/>
            <w:bottom w:w="0" w:type="dxa"/>
            <w:right w:w="0" w:type="dxa"/>
          </w:tblCellMar>
        </w:tblPrEx>
        <w:trPr>
          <w:trHeight w:val="494"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3191"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警察人员装备配备满意度</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≥95%</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≥95%</w:t>
            </w:r>
          </w:p>
        </w:tc>
      </w:tr>
      <w:tr>
        <w:tblPrEx>
          <w:shd w:val="clear"/>
          <w:tblCellMar>
            <w:top w:w="0" w:type="dxa"/>
            <w:left w:w="0" w:type="dxa"/>
            <w:bottom w:w="0" w:type="dxa"/>
            <w:right w:w="0" w:type="dxa"/>
          </w:tblCellMar>
        </w:tblPrEx>
        <w:trPr>
          <w:trHeight w:val="500"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3191"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57" w:type="dxa"/>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强制隔离戒毒人员生活满意度</w:t>
            </w:r>
          </w:p>
        </w:tc>
        <w:tc>
          <w:tcPr>
            <w:tcW w:w="141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≥95%</w:t>
            </w:r>
          </w:p>
        </w:tc>
        <w:tc>
          <w:tcPr>
            <w:tcW w:w="253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≥95%</w:t>
            </w:r>
          </w:p>
        </w:tc>
      </w:tr>
      <w:bookmarkEnd w:id="33"/>
    </w:tbl>
    <w:p>
      <w:pPr>
        <w:adjustRightInd w:val="0"/>
        <w:snapToGrid w:val="0"/>
        <w:spacing w:line="600" w:lineRule="exact"/>
        <w:ind w:firstLine="640" w:firstLineChars="200"/>
        <w:outlineLvl w:val="0"/>
        <w:rPr>
          <w:rFonts w:ascii="Times New Roman" w:hAnsi="Times New Roman" w:eastAsia="方正黑体简体" w:cs="Times New Roman"/>
          <w:bCs/>
          <w:color w:val="000000"/>
          <w:sz w:val="32"/>
          <w:szCs w:val="32"/>
        </w:rPr>
      </w:pPr>
      <w:bookmarkStart w:id="13" w:name="_Toc178059779"/>
      <w:r>
        <w:rPr>
          <w:rFonts w:ascii="Times New Roman" w:hAnsi="Times New Roman" w:eastAsia="方正黑体简体" w:cs="Times New Roman"/>
          <w:bCs/>
          <w:color w:val="000000"/>
          <w:sz w:val="32"/>
          <w:szCs w:val="32"/>
        </w:rPr>
        <w:t>二、评价结论</w:t>
      </w:r>
      <w:bookmarkEnd w:id="13"/>
    </w:p>
    <w:p>
      <w:pPr>
        <w:adjustRightInd w:val="0"/>
        <w:snapToGrid w:val="0"/>
        <w:spacing w:line="600" w:lineRule="exact"/>
        <w:ind w:firstLine="640" w:firstLineChars="200"/>
        <w:outlineLvl w:val="1"/>
        <w:rPr>
          <w:rFonts w:ascii="Times New Roman" w:hAnsi="Times New Roman" w:eastAsia="方正楷体简体" w:cs="Times New Roman"/>
          <w:bCs/>
          <w:color w:val="000000"/>
          <w:sz w:val="32"/>
          <w:szCs w:val="32"/>
        </w:rPr>
      </w:pPr>
      <w:bookmarkStart w:id="14" w:name="_Toc178059780"/>
      <w:r>
        <w:rPr>
          <w:rFonts w:ascii="Times New Roman" w:hAnsi="Times New Roman" w:eastAsia="方正楷体简体" w:cs="Times New Roman"/>
          <w:bCs/>
          <w:color w:val="000000"/>
          <w:sz w:val="32"/>
          <w:szCs w:val="32"/>
        </w:rPr>
        <w:t>（一）评价对象与范围</w:t>
      </w:r>
      <w:bookmarkEnd w:id="14"/>
    </w:p>
    <w:p>
      <w:pPr>
        <w:pStyle w:val="44"/>
        <w:spacing w:line="600" w:lineRule="exact"/>
        <w:rPr>
          <w:rFonts w:cs="Times New Roman"/>
          <w:color w:val="000000"/>
        </w:rPr>
      </w:pPr>
      <w:r>
        <w:rPr>
          <w:rFonts w:cs="Times New Roman"/>
          <w:color w:val="000000"/>
        </w:rPr>
        <w:t>本次评价对象为南京市</w:t>
      </w:r>
      <w:r>
        <w:rPr>
          <w:rFonts w:hint="eastAsia" w:cs="Times New Roman"/>
          <w:color w:val="000000"/>
          <w:lang w:eastAsia="zh-CN"/>
        </w:rPr>
        <w:t>司法</w:t>
      </w:r>
      <w:r>
        <w:rPr>
          <w:rFonts w:cs="Times New Roman"/>
          <w:color w:val="000000"/>
        </w:rPr>
        <w:t>局部门整体资金</w:t>
      </w:r>
      <w:r>
        <w:rPr>
          <w:rFonts w:hint="eastAsia" w:ascii="Times New Roman" w:hAnsi="Times New Roman" w:eastAsia="仿宋_GB2312" w:cs="Times New Roman"/>
          <w:bCs/>
          <w:color w:val="000000"/>
          <w:sz w:val="32"/>
          <w:szCs w:val="32"/>
          <w:lang w:val="en-US" w:eastAsia="zh-CN"/>
        </w:rPr>
        <w:t>8408.44</w:t>
      </w:r>
      <w:r>
        <w:rPr>
          <w:rFonts w:cs="Times New Roman"/>
          <w:color w:val="000000"/>
        </w:rPr>
        <w:t>万元，包括基本支出和项目支出，重点关注</w:t>
      </w:r>
      <w:r>
        <w:rPr>
          <w:rFonts w:hint="eastAsia" w:cs="Times New Roman"/>
          <w:color w:val="000000"/>
          <w:lang w:val="en-US" w:eastAsia="zh-CN"/>
        </w:rPr>
        <w:t>城市警备防务与基层政法补助-社区矫正和人民调解补助资金</w:t>
      </w:r>
      <w:r>
        <w:rPr>
          <w:rFonts w:cs="Times New Roman"/>
          <w:color w:val="000000"/>
        </w:rPr>
        <w:t>专项支出。评价时段为2025年1月1日至12月31日。</w:t>
      </w:r>
    </w:p>
    <w:p>
      <w:pPr>
        <w:adjustRightInd w:val="0"/>
        <w:snapToGrid w:val="0"/>
        <w:spacing w:line="600" w:lineRule="exact"/>
        <w:ind w:firstLine="640" w:firstLineChars="200"/>
        <w:outlineLvl w:val="1"/>
        <w:rPr>
          <w:rFonts w:ascii="Times New Roman" w:hAnsi="Times New Roman" w:eastAsia="方正楷体简体" w:cs="Times New Roman"/>
          <w:bCs/>
          <w:color w:val="000000"/>
          <w:sz w:val="32"/>
          <w:szCs w:val="32"/>
        </w:rPr>
      </w:pPr>
      <w:bookmarkStart w:id="15" w:name="_Toc178059781"/>
      <w:bookmarkStart w:id="16" w:name="_Toc157713194"/>
      <w:r>
        <w:rPr>
          <w:rFonts w:ascii="Times New Roman" w:hAnsi="Times New Roman" w:eastAsia="方正楷体简体" w:cs="Times New Roman"/>
          <w:bCs/>
          <w:color w:val="000000"/>
          <w:sz w:val="32"/>
          <w:szCs w:val="32"/>
        </w:rPr>
        <w:t>（二）绩效评价结论</w:t>
      </w:r>
      <w:bookmarkEnd w:id="15"/>
      <w:bookmarkEnd w:id="16"/>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经综合评价，2025年度南京市</w:t>
      </w:r>
      <w:r>
        <w:rPr>
          <w:rFonts w:hint="eastAsia" w:ascii="Times New Roman" w:hAnsi="Times New Roman" w:eastAsia="仿宋_GB2312" w:cs="Times New Roman"/>
          <w:color w:val="000000"/>
          <w:sz w:val="32"/>
          <w:szCs w:val="32"/>
          <w:lang w:eastAsia="zh-CN"/>
        </w:rPr>
        <w:t>司法</w:t>
      </w:r>
      <w:r>
        <w:rPr>
          <w:rFonts w:ascii="Times New Roman" w:hAnsi="Times New Roman" w:eastAsia="仿宋_GB2312" w:cs="Times New Roman"/>
          <w:color w:val="000000"/>
          <w:sz w:val="32"/>
          <w:szCs w:val="32"/>
        </w:rPr>
        <w:t>局整体绩效评价得分</w:t>
      </w:r>
      <w:r>
        <w:rPr>
          <w:rFonts w:hint="eastAsia" w:ascii="Times New Roman" w:hAnsi="Times New Roman" w:eastAsia="仿宋_GB2312" w:cs="Times New Roman"/>
          <w:color w:val="000000"/>
          <w:sz w:val="32"/>
          <w:szCs w:val="32"/>
          <w:lang w:val="en-US" w:eastAsia="zh-CN"/>
        </w:rPr>
        <w:t>95</w:t>
      </w:r>
      <w:r>
        <w:rPr>
          <w:rFonts w:ascii="Times New Roman" w:hAnsi="Times New Roman" w:eastAsia="仿宋_GB2312" w:cs="Times New Roman"/>
          <w:color w:val="000000"/>
          <w:sz w:val="32"/>
          <w:szCs w:val="32"/>
        </w:rPr>
        <w:t>分，等级为“</w:t>
      </w:r>
      <w:r>
        <w:rPr>
          <w:rFonts w:hint="eastAsia" w:ascii="Times New Roman" w:hAnsi="Times New Roman" w:eastAsia="仿宋_GB2312" w:cs="Times New Roman"/>
          <w:color w:val="000000"/>
          <w:sz w:val="32"/>
          <w:szCs w:val="32"/>
          <w:lang w:eastAsia="zh-CN"/>
        </w:rPr>
        <w:t>优</w:t>
      </w:r>
      <w:r>
        <w:rPr>
          <w:rFonts w:ascii="Times New Roman" w:hAnsi="Times New Roman" w:eastAsia="仿宋_GB2312" w:cs="Times New Roman"/>
          <w:color w:val="000000"/>
          <w:sz w:val="32"/>
          <w:szCs w:val="32"/>
        </w:rPr>
        <w:t>”。整体而言，</w:t>
      </w:r>
      <w:r>
        <w:rPr>
          <w:rFonts w:hint="eastAsia" w:ascii="Times New Roman" w:hAnsi="Times New Roman" w:eastAsia="仿宋_GB2312" w:cs="Times New Roman"/>
          <w:color w:val="000000"/>
          <w:sz w:val="32"/>
          <w:szCs w:val="32"/>
          <w:lang w:eastAsia="zh-CN"/>
        </w:rPr>
        <w:t>南京</w:t>
      </w:r>
      <w:r>
        <w:rPr>
          <w:rFonts w:hint="eastAsia" w:ascii="Times New Roman" w:hAnsi="Times New Roman" w:eastAsia="仿宋_GB2312" w:cs="Times New Roman"/>
          <w:color w:val="000000"/>
          <w:sz w:val="32"/>
          <w:szCs w:val="32"/>
        </w:rPr>
        <w:t>市司法局能够认真履行各项职责，全市司法工作稳步推进；推进法治建设工作任务落实、社会治理现代化、全面履行司法行政各项职能、加强司法行政自身建设，</w:t>
      </w:r>
      <w:r>
        <w:rPr>
          <w:rFonts w:hint="eastAsia" w:ascii="Times New Roman" w:hAnsi="Times New Roman" w:eastAsia="仿宋_GB2312" w:cs="Times New Roman"/>
          <w:color w:val="000000"/>
          <w:sz w:val="32"/>
          <w:szCs w:val="32"/>
          <w:lang w:val="en-US"/>
        </w:rPr>
        <w:t>在全省司法系统中处于领先地位。</w:t>
      </w:r>
    </w:p>
    <w:p>
      <w:pPr>
        <w:adjustRightInd w:val="0"/>
        <w:snapToGrid w:val="0"/>
        <w:spacing w:line="600" w:lineRule="exact"/>
        <w:ind w:firstLine="640" w:firstLineChars="200"/>
        <w:outlineLvl w:val="0"/>
        <w:rPr>
          <w:rFonts w:ascii="Times New Roman" w:hAnsi="Times New Roman" w:eastAsia="方正黑体简体" w:cs="Times New Roman"/>
          <w:bCs/>
          <w:color w:val="000000"/>
          <w:sz w:val="32"/>
          <w:szCs w:val="32"/>
        </w:rPr>
      </w:pPr>
      <w:bookmarkStart w:id="17" w:name="_Toc178059782"/>
      <w:r>
        <w:rPr>
          <w:rFonts w:ascii="Times New Roman" w:hAnsi="Times New Roman" w:eastAsia="方正黑体简体" w:cs="Times New Roman"/>
          <w:bCs/>
          <w:color w:val="000000"/>
          <w:sz w:val="32"/>
          <w:szCs w:val="32"/>
        </w:rPr>
        <w:t>三、部门履职成效</w:t>
      </w:r>
      <w:bookmarkEnd w:id="17"/>
    </w:p>
    <w:p>
      <w:pPr>
        <w:spacing w:line="600" w:lineRule="exact"/>
        <w:ind w:firstLine="640" w:firstLineChars="200"/>
        <w:rPr>
          <w:rFonts w:hint="eastAsia" w:ascii="Times New Roman" w:hAnsi="Times New Roman" w:eastAsia="仿宋_GB2312" w:cs="Times New Roman"/>
          <w:color w:val="000000"/>
          <w:sz w:val="32"/>
          <w:szCs w:val="32"/>
        </w:rPr>
      </w:pPr>
      <w:bookmarkStart w:id="18" w:name="_Toc178059783"/>
      <w:r>
        <w:rPr>
          <w:rFonts w:hint="eastAsia" w:ascii="Times New Roman" w:hAnsi="Times New Roman" w:eastAsia="仿宋_GB2312" w:cs="Times New Roman"/>
          <w:color w:val="000000"/>
          <w:sz w:val="32"/>
          <w:szCs w:val="32"/>
        </w:rPr>
        <w:t>（一）深入推进法治建设。一是高效统抓依法治市工作。组织召开市委依法治市委员会第五次会议暨党政主要负责人专题述法会议；研究谋划市委全面依法治市委员会2025年度工作要点，制定市委依法治市办年度工作计划。组织开展法治建设“一规划两方案”实施情况总结工作。组织实施2025年法治为民十件实事。二是不断深化法治政府建设。成功获评“全国法治政府建设示范地区”；起草《南京市</w:t>
      </w:r>
      <w:r>
        <w:rPr>
          <w:rFonts w:hint="eastAsia" w:ascii="Times New Roman" w:hAnsi="Times New Roman" w:eastAsia="仿宋_GB2312" w:cs="Times New Roman"/>
          <w:color w:val="000000"/>
          <w:sz w:val="32"/>
          <w:szCs w:val="32"/>
          <w:lang w:eastAsia="zh-CN"/>
        </w:rPr>
        <w:t>2025</w:t>
      </w:r>
      <w:r>
        <w:rPr>
          <w:rFonts w:hint="eastAsia" w:ascii="Times New Roman" w:hAnsi="Times New Roman" w:eastAsia="仿宋_GB2312" w:cs="Times New Roman"/>
          <w:color w:val="000000"/>
          <w:sz w:val="32"/>
          <w:szCs w:val="32"/>
        </w:rPr>
        <w:t>年度法治政府建设情况报告》配合市“两办”完成报告的报送及向社会公开工作；完成《南京市人民政府2025年度重大行政决策事项目录》编制工作。三是积极推进立法计划项目。围绕科技发展、生态环境、民生保障、历史文化保护、安全发展等重点领域，确定11件年度立法正式项目，其中由市政府报送议案的地方性法规项目7件，规章正式项目4件。目前已完成《南京市知识产权保护和促进条例》等6件由市政府报送议案的地方性法规项目，《南京市水土保持办法》等2件政府规章待审议，1件地方性法规、2件政府规章基本完成立法审查工作。另外，《南京城市照明管理办法》是新增政府规章项目，目前也已完成立法审查工作。</w:t>
      </w:r>
    </w:p>
    <w:p>
      <w:pPr>
        <w:spacing w:line="60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（二）严格规范依法行政。</w:t>
      </w:r>
      <w:bookmarkStart w:id="19" w:name="OLE_LINK1"/>
      <w:bookmarkStart w:id="20" w:name="OLE_LINK2"/>
      <w:bookmarkStart w:id="21" w:name="OLE_LINK7"/>
      <w:r>
        <w:rPr>
          <w:rFonts w:hint="eastAsia" w:ascii="Times New Roman" w:hAnsi="Times New Roman" w:eastAsia="仿宋_GB2312" w:cs="Times New Roman"/>
          <w:color w:val="000000"/>
          <w:sz w:val="32"/>
          <w:szCs w:val="32"/>
        </w:rPr>
        <w:t>一是开展规范涉企行政检查和规范涉企行政执法专项行动。发布《南京市关于严格规范涉企行政检查的措施》，召开规范涉企行政检查和涉企行政执法专项行动工作部署推进会。</w:t>
      </w:r>
      <w:bookmarkEnd w:id="19"/>
      <w:bookmarkEnd w:id="20"/>
      <w:r>
        <w:rPr>
          <w:rFonts w:hint="eastAsia" w:ascii="Times New Roman" w:hAnsi="Times New Roman" w:eastAsia="仿宋_GB2312" w:cs="Times New Roman"/>
          <w:color w:val="000000"/>
          <w:sz w:val="32"/>
          <w:szCs w:val="32"/>
        </w:rPr>
        <w:t>截至10月底，全市涉企检查频次同比压降30.02%，随意检查、重复检查、变相检查等问题得到有效遏制；针对专项行动发现的15个问题，8个问题已立行立改，7个问题已采取措施完成整改。二是开展提升行政执法质量三年行动。深化监督体系建设，明确市、区、街（镇）政府和部门424个行政执法监督机构。研究制定2025—2027年三年市政府规章、规范性文件后评估项目规划，其中涉及市政府规章10部、政府规范性文件21件。</w:t>
      </w:r>
      <w:bookmarkEnd w:id="21"/>
      <w:r>
        <w:rPr>
          <w:rFonts w:hint="eastAsia" w:ascii="Times New Roman" w:hAnsi="Times New Roman" w:eastAsia="仿宋_GB2312" w:cs="Times New Roman"/>
          <w:color w:val="000000"/>
          <w:sz w:val="32"/>
          <w:szCs w:val="32"/>
        </w:rPr>
        <w:t>三是提供专业法治保障。</w:t>
      </w:r>
      <w:bookmarkStart w:id="22" w:name="OLE_LINK16"/>
      <w:bookmarkStart w:id="23" w:name="OLE_LINK17"/>
      <w:r>
        <w:rPr>
          <w:rFonts w:hint="eastAsia" w:ascii="Times New Roman" w:hAnsi="Times New Roman" w:eastAsia="仿宋_GB2312" w:cs="Times New Roman"/>
          <w:color w:val="000000"/>
          <w:sz w:val="32"/>
          <w:szCs w:val="32"/>
        </w:rPr>
        <w:t>严格开展政府合同合法性审查，共审查市政府与百度公司战略合作协议等政府合同79件；积极提供重大涉法事务法治保障，共办理未来网络试验设施项目江苏承建部分委托经营事项等涉法事务198件，出具书面意见117份。</w:t>
      </w:r>
      <w:bookmarkEnd w:id="22"/>
      <w:bookmarkEnd w:id="23"/>
      <w:r>
        <w:rPr>
          <w:rFonts w:hint="eastAsia" w:ascii="Times New Roman" w:hAnsi="Times New Roman" w:eastAsia="仿宋_GB2312" w:cs="Times New Roman"/>
          <w:color w:val="000000"/>
          <w:sz w:val="32"/>
          <w:szCs w:val="32"/>
        </w:rPr>
        <w:t>聚焦企业激励、招商引资、民生保障等重点领域，共审查政策文件420余件；完成钟山风景名胜区交通优化提升、新生圩大桥通车等市委市政府重大决策部署的法治保障。</w:t>
      </w:r>
    </w:p>
    <w:p>
      <w:pPr>
        <w:spacing w:line="600" w:lineRule="exact"/>
        <w:ind w:firstLine="640" w:firstLineChars="200"/>
        <w:rPr>
          <w:rFonts w:hint="eastAsia" w:ascii="Times New Roman" w:hAnsi="Times New Roman" w:eastAsia="仿宋_GB2312" w:cs="Times New Roman"/>
          <w:color w:val="000000"/>
          <w:sz w:val="32"/>
          <w:szCs w:val="32"/>
          <w:lang w:val="zh-CN"/>
        </w:rPr>
      </w:pPr>
      <w:r>
        <w:rPr>
          <w:rFonts w:hint="eastAsia" w:ascii="Times New Roman" w:hAnsi="Times New Roman" w:eastAsia="仿宋_GB2312" w:cs="Times New Roman"/>
          <w:color w:val="000000"/>
          <w:sz w:val="32"/>
          <w:szCs w:val="32"/>
        </w:rPr>
        <w:t>（三）积极化解行政争议。</w:t>
      </w:r>
      <w:bookmarkStart w:id="24" w:name="OLE_LINK3"/>
      <w:bookmarkStart w:id="25" w:name="OLE_LINK4"/>
      <w:r>
        <w:rPr>
          <w:rFonts w:hint="eastAsia" w:ascii="Times New Roman" w:hAnsi="Times New Roman" w:eastAsia="仿宋_GB2312" w:cs="Times New Roman"/>
          <w:color w:val="000000"/>
          <w:sz w:val="32"/>
          <w:szCs w:val="32"/>
        </w:rPr>
        <w:t>一是依法办理行政复议案件。今年以来，共收到市政府为复议机关的行政复议申请1304件，不予受理170件，受理1134件，受理数较去年增加42.04%。已审结887件（含上年度结转案件216件），其中作出纠错决定37件（含变更1件，撤销17件，确认违法7件，责令履行12件），纠错率4.17%。二是认真做好行政应诉工作。</w:t>
      </w:r>
      <w:r>
        <w:rPr>
          <w:rFonts w:hint="eastAsia" w:ascii="Times New Roman" w:hAnsi="Times New Roman" w:eastAsia="仿宋_GB2312" w:cs="Times New Roman"/>
          <w:color w:val="000000"/>
          <w:sz w:val="32"/>
          <w:szCs w:val="32"/>
          <w:lang w:val="zh-CN"/>
        </w:rPr>
        <w:t>今年以来，共承办以市政府为被告的行政诉讼案件616件，同比增长52.85%；制发《行政机关主要负责人出庭应诉工作提示函》，强化行政机关负责人出庭应诉，已有11个区、4个市级部门主要负责人出庭应诉。</w:t>
      </w:r>
      <w:r>
        <w:rPr>
          <w:rFonts w:hint="eastAsia" w:ascii="Times New Roman" w:hAnsi="Times New Roman" w:eastAsia="仿宋_GB2312" w:cs="Times New Roman"/>
          <w:color w:val="000000"/>
          <w:sz w:val="32"/>
          <w:szCs w:val="32"/>
        </w:rPr>
        <w:t>三是推动行政争议及时化解。</w:t>
      </w:r>
      <w:bookmarkEnd w:id="24"/>
      <w:bookmarkEnd w:id="25"/>
      <w:r>
        <w:rPr>
          <w:rFonts w:hint="eastAsia" w:ascii="Times New Roman" w:hAnsi="Times New Roman" w:eastAsia="仿宋_GB2312" w:cs="Times New Roman"/>
          <w:color w:val="000000"/>
          <w:sz w:val="32"/>
          <w:szCs w:val="32"/>
        </w:rPr>
        <w:t>与市法院、市检察院共同印发《关于协同推进行政争议实质性化解的实施意见》，形成府院检共同化解争议合力，指导各区成立行政争议调处中心并实体化运行。</w:t>
      </w:r>
    </w:p>
    <w:p>
      <w:pPr>
        <w:spacing w:line="60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四）全力维护安全稳定。一是加强矛盾纠纷排查调处。完成“化解矛盾风险、维护社会稳定”专项治理，在全市范围开展社会风险隐患排查，动态掌握摸排数据；开展元旦、春节及“两会”期间矛盾纠纷集中排查调处，预计全市全年各类人民调解组织共调处纠纷超17万件。推进商事调解市场化试点，会同法院印发实施方案，指导江北新区开展试点；深化访调对接机制，联合市财政局、信访局印发《关于进一步深化全市访调工作对接的实施意见》。二是强化特殊人群管理帮扶。司法部在南京召开统筹推进“五项工作”暨基层依法治理工作推进会。赴常州、宜兴、无锡等监狱开展合作共建活动，组织各区局与南京周边8家监所对接，签订共建协议，推进刑罚执行一体化工作深入开展。目前，全市在册社区矫正对象4003人，在册安置帮教对象8338人。三是积极探索罪错未成年人教育矫治“所校”融合发展新模式。选派管教经验丰富的戒毒民警成立专门教育矫治大队，参与专门学校的日常管理、行为养成矫治教育。今年6月，全省禁毒法治教育暨联合帮教活动在大连山强制隔离戒毒所举行。扎实推进后续照管工作，全市在册后续照管对象506人。</w:t>
      </w:r>
    </w:p>
    <w:p>
      <w:pPr>
        <w:spacing w:line="60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五）扎实推进法治宣传。一是推进“八五”普法收官各项重点工作。部署全市“八五”普法总结，收集市级各部门、各板块和单位的特色亮点工作，在市委党刊《金陵瞭望》推出“八五”普法工作特刊，集中反映工作成果。围绕普法40周年，开展“普法长卷•金陵故事”系列宣传。二是开展新一轮法治薄弱村（社区）排查整治。在市委政法委的领导下，市政法部门等15个单位联合在全市开展第二批法治薄弱村（社区）排查工作，确定20个法治薄弱村（社区）。通过调整清单内容、加大派驻干警力量、加强领导包案制度落实，有针对性地解决短板弱项，有效提升基层人员法治意识和依法治理水平。三是开展专项普法工作。组织开展第十九届“农民工学法活动周”活动，广泛宣传与农民工合法权益密切相关的法律法规。组织 “民法典宣传月”、鸟类保护、“宪法宣传周”等专题法治宣传活动，联合市委宣传部在《南京日报》、地铁站厅等线上线下平台投放普法宣传公益广告。组织第三届“七彩夏日•与法‘童’行”青少年法治研学，联合市教育局开展第九届南京市学生“学宪法 讲宪法”活动，让学生沉浸式学法讲法。</w:t>
      </w:r>
    </w:p>
    <w:p>
      <w:pPr>
        <w:spacing w:line="60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（六）大力提供惠民服务。一是加强涉企法治服务保障。在全国率先成立</w:t>
      </w:r>
      <w:bookmarkStart w:id="26" w:name="OLE_LINK12"/>
      <w:bookmarkStart w:id="27" w:name="OLE_LINK13"/>
      <w:r>
        <w:rPr>
          <w:rFonts w:hint="eastAsia" w:ascii="Times New Roman" w:hAnsi="Times New Roman" w:eastAsia="仿宋_GB2312" w:cs="Times New Roman"/>
          <w:color w:val="000000"/>
          <w:sz w:val="32"/>
          <w:szCs w:val="32"/>
        </w:rPr>
        <w:t>跨境电商知识产权保护</w:t>
      </w:r>
      <w:bookmarkEnd w:id="26"/>
      <w:bookmarkEnd w:id="27"/>
      <w:r>
        <w:rPr>
          <w:rFonts w:hint="eastAsia" w:ascii="Times New Roman" w:hAnsi="Times New Roman" w:eastAsia="仿宋_GB2312" w:cs="Times New Roman"/>
          <w:color w:val="000000"/>
          <w:sz w:val="32"/>
          <w:szCs w:val="32"/>
        </w:rPr>
        <w:t>联盟，通过“仲裁+公证+行政”机制，为跨境电商企业提供全方位服务；推进产业链+法律服务，新增“集成电路”“生物医药”“储能与氢能”“未来网络与先进通信”4个产业链律师工作站，组织走访链上企业90家，收集排查企业法律风险服务需求206条，帮助企业化解风险解决问题50条，建立长效机制22项；持续深化“万所联万会”，新增17家律所与30家商会进行对接，4家律所党组织与9个商会或企业党组织形成了共建关系。二是提供更多惠民服务。规范涉及保险理赔司法鉴定工作，发布地方标准《道路车辆类型鉴定规范》，加强司法鉴定机构规范化建设，截至目前，办理四大类司法鉴定案件2.77万余件；办理各类公证</w:t>
      </w:r>
      <w:bookmarkStart w:id="28" w:name="OLE_LINK10"/>
      <w:bookmarkStart w:id="29" w:name="OLE_LINK11"/>
      <w:r>
        <w:rPr>
          <w:rFonts w:hint="eastAsia" w:ascii="Times New Roman" w:hAnsi="Times New Roman" w:eastAsia="仿宋_GB2312" w:cs="Times New Roman"/>
          <w:color w:val="000000"/>
          <w:sz w:val="32"/>
          <w:szCs w:val="32"/>
        </w:rPr>
        <w:t>18.3万余件</w:t>
      </w:r>
      <w:bookmarkEnd w:id="28"/>
      <w:bookmarkEnd w:id="29"/>
      <w:r>
        <w:rPr>
          <w:rFonts w:hint="eastAsia" w:ascii="Times New Roman" w:hAnsi="Times New Roman" w:eastAsia="仿宋_GB2312" w:cs="Times New Roman"/>
          <w:color w:val="000000"/>
          <w:sz w:val="32"/>
          <w:szCs w:val="32"/>
        </w:rPr>
        <w:t>，其中符合减免费用规定的公证960件，减免费用达98万元。12348公共法律服务热线接听咨询13.34万人次，接通率为97.19%，满意率为99.2%。三是做实涉外法律服务。建成江苏（南京）涉外法律服务中心，10月13日，中心公共服务平台正式运营，受到省市电视和媒体关注报道。成立南京市法学会涉外法治研究会，加强涉外法治理论研究与实践探索。成立南京市紫金山国际商事调解院，全市10家公证处开通“涉外公证+领事认证”一体联办业务。遴选推荐53名律师作为全国涉外知识产权律师候选对象；持续推进本地律所与港澳台律所深度合作，完成江苏法德东恒律师事务所与香港柯伍陈律师事务所，江苏石城律师事务所与香港周启邦、澳门黄显辉律师事务所合伙联营，设立江苏三法律师事务所台湾庆辰法律事务所联营办公室。四是加大法律援助力度。推进审查起诉阶段律师辩护全覆盖工作，会同市检察院、市律协等，通过完善工作机制、加强值班律师队伍建设等措施，加强犯罪嫌疑人和被告人权益保护。截至目前，全市共办理法律援助案件8687件，其中农民工法律援助案件1929件、妇女儿童2827件、老年人665件、残疾人120件。</w:t>
      </w:r>
    </w:p>
    <w:p>
      <w:pPr>
        <w:spacing w:line="60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（七）不断加强队伍建设。</w:t>
      </w:r>
      <w:bookmarkStart w:id="30" w:name="OLE_LINK22"/>
      <w:bookmarkStart w:id="31" w:name="OLE_LINK23"/>
      <w:r>
        <w:rPr>
          <w:rFonts w:hint="eastAsia" w:ascii="Times New Roman" w:hAnsi="Times New Roman" w:eastAsia="仿宋_GB2312" w:cs="Times New Roman"/>
          <w:color w:val="000000"/>
          <w:sz w:val="32"/>
          <w:szCs w:val="32"/>
        </w:rPr>
        <w:t>一是推进深入贯彻中央八项规定精神学习教育。制定工作方案和推进计划表，共开展专题学习、警示教育等各类学习活动9场次，局领导班子查摆问题5项并完成销号。各级党组织上下协同、紧密联动，坚持问题导向与群众路线相结合，实现市局系统2000余名党员全覆盖。</w:t>
      </w:r>
      <w:bookmarkEnd w:id="30"/>
      <w:bookmarkEnd w:id="31"/>
      <w:r>
        <w:rPr>
          <w:rFonts w:hint="eastAsia" w:ascii="Times New Roman" w:hAnsi="Times New Roman" w:eastAsia="仿宋_GB2312" w:cs="Times New Roman"/>
          <w:color w:val="000000"/>
          <w:sz w:val="32"/>
          <w:szCs w:val="32"/>
        </w:rPr>
        <w:t>二是不断加强政治建设。深化落实“第一议题”制度，开展学习11次共30项内容。研究制定《2025年全市司法行政政治工作要点》，持续做好所属人员矛盾风险排查化解工作，总结梳理中央政法委维护政治安全工作督查反馈问题整改落实情况。三是进一步提升干部能力素质。制定年度干部教育培训计划，组织干部赴紫金山实验室开展专题培训，组织《中华人民共和国民营经济促进法》、“习近平法治思想与涉外法治”专题辅导。组织处级干部共计185人次参加省干部在线学习平台相关专题班学习，干警代表共计70人次参加省市政法系统学习教育。</w:t>
      </w:r>
    </w:p>
    <w:p>
      <w:pPr>
        <w:adjustRightInd w:val="0"/>
        <w:snapToGrid w:val="0"/>
        <w:spacing w:line="600" w:lineRule="exact"/>
        <w:ind w:firstLine="640" w:firstLineChars="200"/>
        <w:outlineLvl w:val="0"/>
        <w:rPr>
          <w:rFonts w:ascii="Times New Roman" w:hAnsi="Times New Roman" w:eastAsia="方正黑体简体" w:cs="Times New Roman"/>
          <w:bCs/>
          <w:color w:val="000000"/>
          <w:sz w:val="32"/>
          <w:szCs w:val="32"/>
        </w:rPr>
      </w:pPr>
      <w:r>
        <w:rPr>
          <w:rFonts w:ascii="Times New Roman" w:hAnsi="Times New Roman" w:eastAsia="方正黑体简体" w:cs="Times New Roman"/>
          <w:bCs/>
          <w:color w:val="000000"/>
          <w:sz w:val="32"/>
          <w:szCs w:val="32"/>
        </w:rPr>
        <w:t>四、存在问题及原因分析</w:t>
      </w:r>
      <w:bookmarkEnd w:id="18"/>
    </w:p>
    <w:p>
      <w:pPr>
        <w:spacing w:line="600" w:lineRule="exact"/>
        <w:ind w:firstLine="640" w:firstLineChars="200"/>
        <w:rPr>
          <w:rFonts w:hint="eastAsia" w:ascii="Times New Roman" w:hAnsi="Times New Roman" w:eastAsia="仿宋_GB2312" w:cs="Times New Roman"/>
          <w:color w:val="000000"/>
          <w:sz w:val="32"/>
          <w:szCs w:val="32"/>
          <w:lang w:eastAsia="zh-CN"/>
        </w:rPr>
      </w:pPr>
      <w:bookmarkStart w:id="32" w:name="_Toc178059784"/>
      <w:r>
        <w:rPr>
          <w:rFonts w:hint="eastAsia" w:ascii="Times New Roman" w:hAnsi="Times New Roman" w:eastAsia="仿宋_GB2312" w:cs="Times New Roman"/>
          <w:color w:val="000000"/>
          <w:sz w:val="32"/>
          <w:szCs w:val="32"/>
          <w:lang w:eastAsia="zh-CN"/>
        </w:rPr>
        <w:t>（一）绩效目标设定不够科学合理，与单位绩效目标及重点工作任务衔接不够紧密</w:t>
      </w: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部分项目绩效目标申报表中的中长期绩效目标不够合理，未结合政策内容制定中长期目标任务；年度绩效目标不完整，如仅包含调解案件成功率等单一指标，无法全面评价项目产出效益和效果。部分项目年度绩效目标以定性分析为主，缺少量化指标，难以有效衡量产出效益。绩效指标设置偏少，细化分解不足，如产出数量、产出质量、产出时效、社会效益等二级指标均仅设置1个三级指标；部分绩效指标名称设置不够规范。上述问题在一定程度上影响了绩效目标对部门年度重点工作任务的指引和约束作用，绩效目标管理与业务工作存在“两张皮”现象。</w:t>
      </w: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原因在于：绩效目标编制过程中业务处室参与不够充分，业财融合有待深化；对绩效目标与部门整体战略、年度重点工作任务的关联性缺乏系统论证。</w:t>
      </w: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（二）资金支出结构有待优化，资金使用效率需进一步提升</w:t>
      </w:r>
    </w:p>
    <w:p>
      <w:pPr>
        <w:spacing w:line="600" w:lineRule="exact"/>
        <w:ind w:firstLine="640" w:firstLineChars="200"/>
        <w:rPr>
          <w:rFonts w:hint="eastAsia" w:ascii="Times New Roman" w:hAnsi="Times New Roman" w:eastAsia="仿宋_GB2312" w:cs="Times New Roman"/>
          <w:color w:val="000000"/>
          <w:sz w:val="32"/>
          <w:szCs w:val="32"/>
          <w:lang w:eastAsia="zh-CN"/>
        </w:rPr>
      </w:pP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部分项目资金支出结构不尽合理，资金配置与工作实际需求的匹配度有待提高。专项资金在不同子项之间的分配比例缺乏充分论证，部分领域资金投入相对不足，而另一些领域则存在资金沉淀或低效使用的现象。</w:t>
      </w: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原因在于：预算编制精细化程度不够，资金分配缺乏科学测算依据；缺乏对资金使用效益的动态跟踪和评估机制，未能根据工作实际进展及时调整资金配置方案。</w:t>
      </w: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（三）绩效管理基础薄弱，全过程绩效管理机制尚不健全</w:t>
      </w: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绩效指标与目标值设定主要依赖财务部门，业务处室参与度不高，绩效管理的专业性和针对性有待加强。绩效自评工作规范性不够，自评结论的客观性和真实性有待提升。</w:t>
      </w:r>
    </w:p>
    <w:p>
      <w:pPr>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原因在于：全员绩效管理意识不强，部分人员对“花钱必问效”的理念认识不到位；绩效评价结果与预算安排、处室考核的关联机制尚未真正建立，绩效管理的约束力和激励作用未能有效发挥。</w:t>
      </w:r>
    </w:p>
    <w:p>
      <w:pPr>
        <w:spacing w:line="600" w:lineRule="exact"/>
        <w:ind w:firstLine="640" w:firstLineChars="200"/>
        <w:rPr>
          <w:rFonts w:hint="default" w:ascii="Times New Roman" w:hAnsi="Times New Roman" w:eastAsia="方正黑体简体" w:cs="Times New Roman"/>
          <w:bCs/>
          <w:color w:val="000000"/>
          <w:sz w:val="32"/>
          <w:szCs w:val="32"/>
          <w:lang w:val="en-US" w:eastAsia="zh-CN"/>
        </w:rPr>
      </w:pPr>
      <w:r>
        <w:rPr>
          <w:rFonts w:ascii="Times New Roman" w:hAnsi="Times New Roman" w:eastAsia="方正黑体简体" w:cs="Times New Roman"/>
          <w:bCs/>
          <w:color w:val="000000"/>
          <w:sz w:val="32"/>
          <w:szCs w:val="32"/>
        </w:rPr>
        <w:t>五、</w:t>
      </w:r>
      <w:bookmarkEnd w:id="32"/>
      <w:r>
        <w:rPr>
          <w:rFonts w:hint="eastAsia" w:ascii="Times New Roman" w:hAnsi="Times New Roman" w:eastAsia="方正黑体简体" w:cs="Times New Roman"/>
          <w:bCs/>
          <w:color w:val="000000"/>
          <w:sz w:val="32"/>
          <w:szCs w:val="32"/>
          <w:lang w:val="en-US" w:eastAsia="zh-CN"/>
        </w:rPr>
        <w:t>下一步工作思路</w:t>
      </w:r>
    </w:p>
    <w:p>
      <w:pPr>
        <w:spacing w:line="600" w:lineRule="exact"/>
        <w:ind w:firstLine="640" w:firstLineChars="200"/>
        <w:rPr>
          <w:rFonts w:eastAsia="方正仿宋_GBK"/>
          <w:color w:val="000000"/>
          <w:sz w:val="32"/>
          <w:szCs w:val="32"/>
        </w:rPr>
      </w:pPr>
      <w:r>
        <w:rPr>
          <w:rFonts w:hint="eastAsia" w:ascii="方正楷体_GBK" w:eastAsia="方正楷体_GBK"/>
          <w:color w:val="000000"/>
          <w:sz w:val="32"/>
          <w:szCs w:val="32"/>
        </w:rPr>
        <w:t>一是建设更高水平法治南京。</w:t>
      </w:r>
      <w:r>
        <w:rPr>
          <w:rFonts w:hint="eastAsia" w:eastAsia="方正仿宋_GBK"/>
          <w:color w:val="000000"/>
          <w:sz w:val="32"/>
          <w:szCs w:val="32"/>
        </w:rPr>
        <w:t>深入学习贯彻习近平法治思想，将全面贯彻落实党的二十届四中全会精神与学习贯彻习近平法治思想结合起来。筹备召开市委全面依法治市工作会议，制定出台新一轮法治南京建设规划。丰富创新立法工作形式，深入推进“小快灵”立法，积极探索区域协同立法。健全完善公众参与立法机制，做好政府规章的立改废工作。</w:t>
      </w:r>
    </w:p>
    <w:p>
      <w:pPr>
        <w:spacing w:line="600" w:lineRule="exact"/>
        <w:ind w:firstLine="640" w:firstLineChars="200"/>
        <w:rPr>
          <w:rFonts w:eastAsia="方正仿宋_GBK"/>
          <w:color w:val="000000"/>
          <w:sz w:val="32"/>
          <w:szCs w:val="32"/>
        </w:rPr>
      </w:pPr>
      <w:r>
        <w:rPr>
          <w:rFonts w:hint="eastAsia" w:ascii="方正楷体_GBK" w:eastAsia="方正楷体_GBK"/>
          <w:color w:val="000000"/>
          <w:sz w:val="32"/>
          <w:szCs w:val="32"/>
        </w:rPr>
        <w:t>二是扎实推进法治政府建设。</w:t>
      </w:r>
      <w:r>
        <w:rPr>
          <w:rFonts w:hint="eastAsia" w:eastAsia="方正仿宋_GBK"/>
          <w:color w:val="000000"/>
          <w:sz w:val="32"/>
          <w:szCs w:val="32"/>
        </w:rPr>
        <w:t>落实法治政府建设年度工作报告制度。推进严格规范公正文明执法，深入开展严格规范涉企行政检查，进一步完善行政监督体系，建设行政执法和监督综合平台。综合运用书面督察、实地督察等方式开展法治督察工作。加强和规范行政复议应诉工作，落实行政复议意见书、抄告等制度，推动复议监督效能向案前、案后延伸。深化府院联动，发挥行政争议调解中心及工作站（点）作用，促进行政机关参与行政争议调解。深入推进全市行政机关负责人出庭应诉质效实施意见，提升出庭应诉质效，深化推进诉源治理。</w:t>
      </w:r>
    </w:p>
    <w:p>
      <w:pPr>
        <w:spacing w:line="600" w:lineRule="exact"/>
        <w:ind w:firstLine="640" w:firstLineChars="200"/>
        <w:rPr>
          <w:rFonts w:eastAsia="方正仿宋_GBK"/>
          <w:color w:val="000000"/>
          <w:sz w:val="32"/>
          <w:szCs w:val="32"/>
        </w:rPr>
      </w:pPr>
      <w:r>
        <w:rPr>
          <w:rFonts w:hint="eastAsia" w:ascii="方正楷体_GBK" w:eastAsia="方正楷体_GBK"/>
          <w:color w:val="000000"/>
          <w:sz w:val="32"/>
          <w:szCs w:val="32"/>
        </w:rPr>
        <w:t>三是建设现代公共法律服务体系。</w:t>
      </w:r>
      <w:r>
        <w:rPr>
          <w:rFonts w:hint="eastAsia" w:eastAsia="方正仿宋_GBK"/>
          <w:color w:val="000000"/>
          <w:sz w:val="32"/>
          <w:szCs w:val="32"/>
        </w:rPr>
        <w:t>按照“管理结构扁平化、供给平台一体化、资源配置精准化、服务产品多元化、功能保障专业化”的标准，建设人民满意、覆盖全市、层次分明、可持续发展的现代公共法律服务体系。推进南京法律服务产业园建设，促进法律服务行业发展。深入宣传贯彻法治宣传教育法，根据国家、省级“九五”普法规划，认真谋划我市“九五”普法规划实施方案。</w:t>
      </w:r>
    </w:p>
    <w:p>
      <w:pPr>
        <w:spacing w:line="600" w:lineRule="exact"/>
        <w:ind w:firstLine="640" w:firstLineChars="200"/>
        <w:rPr>
          <w:rFonts w:eastAsia="方正仿宋_GBK"/>
          <w:color w:val="000000"/>
          <w:sz w:val="32"/>
          <w:szCs w:val="32"/>
        </w:rPr>
      </w:pPr>
      <w:r>
        <w:rPr>
          <w:rFonts w:hint="eastAsia" w:ascii="方正楷体_GBK" w:eastAsia="方正楷体_GBK"/>
          <w:color w:val="000000"/>
          <w:sz w:val="32"/>
          <w:szCs w:val="32"/>
        </w:rPr>
        <w:t>四是提升基层治理服务效能。</w:t>
      </w:r>
      <w:r>
        <w:rPr>
          <w:rFonts w:hint="eastAsia" w:eastAsia="方正仿宋_GBK"/>
          <w:color w:val="000000"/>
          <w:sz w:val="32"/>
          <w:szCs w:val="32"/>
        </w:rPr>
        <w:t>持续深化“新时代枫桥经验”实践，推动非诉服务与基层治理深度融合。扩大商事调解市场化试点范围，探索在更多行业和领域推广。推进司法所与基层法庭“庭所共建”，强化阵地建设和分类指导。统筹推进“五项工作”，积极探索监地合作新模态，深入推进安置帮教工作前置化，引入专业心理组织深化罪犯心理矫治合作。</w:t>
      </w:r>
    </w:p>
    <w:p>
      <w:pPr>
        <w:spacing w:line="600" w:lineRule="exact"/>
        <w:ind w:firstLine="640" w:firstLineChars="200"/>
        <w:rPr>
          <w:rFonts w:eastAsia="方正仿宋_GBK"/>
          <w:color w:val="000000"/>
          <w:sz w:val="32"/>
          <w:szCs w:val="32"/>
        </w:rPr>
      </w:pPr>
      <w:r>
        <w:rPr>
          <w:rFonts w:hint="eastAsia" w:ascii="方正楷体_GBK" w:eastAsia="方正楷体_GBK"/>
          <w:color w:val="000000"/>
          <w:sz w:val="32"/>
          <w:szCs w:val="32"/>
        </w:rPr>
        <w:t>五是加快推进涉外法治建设。</w:t>
      </w:r>
      <w:r>
        <w:rPr>
          <w:rFonts w:hint="eastAsia" w:eastAsia="方正仿宋_GBK"/>
          <w:color w:val="000000"/>
          <w:sz w:val="32"/>
          <w:szCs w:val="32"/>
        </w:rPr>
        <w:t>提升涉外法治供给能力，充分发挥江苏（南京）涉外法律服务中心平台功能，推动南京市紫金山国际商事调解院实体化高效运行，积极培育国际一流涉外律师事务所。拓宽涉外法治人才引育路径，围绕国际贸易争端、跨境投资并购、涉外知识产权、企业国际化合规经营等领域，加快引进和培育高层次涉外法治人才。</w:t>
      </w:r>
    </w:p>
    <w:p>
      <w:pPr>
        <w:spacing w:line="600" w:lineRule="exact"/>
        <w:ind w:firstLine="640" w:firstLineChars="200"/>
        <w:rPr>
          <w:rFonts w:eastAsia="方正仿宋_GBK"/>
          <w:color w:val="000000"/>
          <w:sz w:val="32"/>
          <w:szCs w:val="32"/>
        </w:rPr>
      </w:pPr>
      <w:r>
        <w:rPr>
          <w:rFonts w:hint="eastAsia" w:ascii="方正楷体_GBK" w:eastAsia="方正楷体_GBK"/>
          <w:color w:val="000000"/>
          <w:sz w:val="32"/>
          <w:szCs w:val="32"/>
        </w:rPr>
        <w:t>六是大力推进司法行政领域改革。</w:t>
      </w:r>
      <w:r>
        <w:rPr>
          <w:rFonts w:hint="eastAsia" w:eastAsia="方正仿宋_GBK"/>
          <w:color w:val="000000"/>
          <w:sz w:val="32"/>
          <w:szCs w:val="32"/>
        </w:rPr>
        <w:t>推动贯彻落实《全面深化法治领域改革纲要（2023-2027年）》涉及改革任务落地落实。加强行政决策的法治化建设，进一步完善重大行政决策、行政规范性文件合法性审核机制。</w:t>
      </w:r>
    </w:p>
    <w:p>
      <w:pPr>
        <w:spacing w:line="600" w:lineRule="exact"/>
        <w:ind w:firstLine="640" w:firstLineChars="200"/>
        <w:rPr>
          <w:rFonts w:hint="eastAsia" w:ascii="Times New Roman" w:hAnsi="Times New Roman" w:eastAsia="方正黑体简体" w:cs="Times New Roman"/>
          <w:bCs/>
          <w:color w:val="000000"/>
          <w:sz w:val="32"/>
          <w:szCs w:val="32"/>
          <w:lang w:val="en-US" w:eastAsia="zh-CN"/>
        </w:rPr>
      </w:pPr>
      <w:r>
        <w:rPr>
          <w:rFonts w:hint="eastAsia" w:ascii="Times New Roman" w:hAnsi="Times New Roman" w:eastAsia="方正黑体简体" w:cs="Times New Roman"/>
          <w:bCs/>
          <w:color w:val="000000"/>
          <w:sz w:val="32"/>
          <w:szCs w:val="32"/>
          <w:lang w:val="en-US" w:eastAsia="zh-CN"/>
        </w:rPr>
        <w:t>六、评价工作开展情况及其他需说明的事项</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（一）政策评价思路及方法</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1.评价目的</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本次评价旨在客观反映南京市司法局部门预算资金使用效果及政策实施成效，全面梳理资金使用过程中存在的问题与薄弱环节，提出针对性改进建议，为下一年度预算安排和政策优化提供参考。</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2.评价依据</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（1）《南京市级财政预算绩效管理办法》（宁委办厅字〔2024〕2号）；</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（2）《南京市市级财政预算绩效评价操作规程（试行）》（宁财绩〔2020〕260号）。</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3.重点关注内容</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（1）制度执行有效性。评价社区矫正与人民调解工作是否依规开展，队伍建设、日常监管、信息化管理、跨部门协同等方面制度执行是否规范到位。</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（2）工作任务完成时效性与质量。评价各项工作是否按期完成；以风险防控、矛盾化解为核心，评价一般矛盾纠纷升级、民转刑、越级上访等风险事件是否有效压降，工作质效是否符合标准。</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（3）社会效益。评价社区矫正对象再犯罪率是否持续低位，矛盾纠纷调处成功率、教育帮扶活动满足率是否保持较高水平，社会治理效能是否充分彰显。</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4.评价方法</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（1）目标评价法。将实际产出及效益与绩效目标进行比较分析。</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（2）比较分析法。通过绩效目标与实施效果、历史与当期情况对比，分析绩效目标实现程度。</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（3）因素分析法。 综合分析影响绩效目标实现的内外因素，评价目标实现程度。</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（二）绩效评价指标体系</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依据《南京市市级财政预算绩效评价操作规程（试行）》（宁财绩〔2020〕260号）及《绩效评价操作指南》要求，指标体系设计遵循以下原则：</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（1）在共性指标框架基础上突出政策特性。一级、二级指标参照共性框架设置，三级指标结合资金使用管理和政策特性具体设定。</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（2）围绕政策特性科学设定定性定量指标。产出指标围绕政策具体实施内容设置，注重体现政策实施的目的达成情况。通过细化、量化的绩效指标，力求实现评价的全面性、科学性、客观性和准确性。</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评价结果采取评分与评级相结合的方式，实行百分制四级分类：</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等次 分值区间</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优 90分（含）—100分</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良 80分（含）—90分</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中 60分（含）—80分</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差 60分以下</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（三）评价组织实施</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评价工作分为四个阶段：</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1.前期准备阶段。组建评价工作组，研读政策文件与相关资料，制定评价实施方案，设计数据采集工具。</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2.现场评价阶段。收集审核资金管理、业务开展等相关资料，选取</w:t>
      </w:r>
      <w:r>
        <w:rPr>
          <w:rFonts w:hint="eastAsia" w:eastAsia="方正仿宋_GBK"/>
          <w:color w:val="000000"/>
          <w:sz w:val="32"/>
          <w:szCs w:val="32"/>
          <w:lang w:val="en-US" w:eastAsia="zh-CN"/>
        </w:rPr>
        <w:t>处室局</w:t>
      </w:r>
      <w:r>
        <w:rPr>
          <w:rFonts w:hint="eastAsia" w:eastAsia="方正仿宋_GBK"/>
          <w:color w:val="000000"/>
          <w:sz w:val="32"/>
          <w:szCs w:val="32"/>
        </w:rPr>
        <w:t>开展核查，组织座谈交流并开展满意度问卷调查。</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3.分析评价阶段。整理分析数据资料，对照指标体系综合评分，撰写评价报告初稿并进行内部论证审核。</w:t>
      </w:r>
    </w:p>
    <w:p>
      <w:pPr>
        <w:spacing w:line="600" w:lineRule="exact"/>
        <w:ind w:firstLine="640" w:firstLineChars="200"/>
        <w:rPr>
          <w:rFonts w:hint="eastAsia" w:eastAsia="方正仿宋_GBK"/>
          <w:color w:val="000000"/>
          <w:sz w:val="32"/>
          <w:szCs w:val="32"/>
        </w:rPr>
      </w:pPr>
      <w:r>
        <w:rPr>
          <w:rFonts w:hint="eastAsia" w:eastAsia="方正仿宋_GBK"/>
          <w:color w:val="000000"/>
          <w:sz w:val="32"/>
          <w:szCs w:val="32"/>
        </w:rPr>
        <w:t>4.成果反馈与应用阶段。征求被评价方意见并修改完善，提交正式评价报告，配合做好结果应用，将评价结论作为下一年度预算安排和政策优化的重要依据。</w:t>
      </w:r>
    </w:p>
    <w:p>
      <w:pPr>
        <w:adjustRightInd w:val="0"/>
        <w:snapToGrid w:val="0"/>
        <w:spacing w:line="600" w:lineRule="exact"/>
        <w:ind w:firstLine="640" w:firstLineChars="200"/>
        <w:outlineLvl w:val="0"/>
        <w:rPr>
          <w:rFonts w:ascii="Times New Roman" w:hAnsi="Times New Roman" w:eastAsia="方正黑体简体" w:cs="Times New Roman"/>
          <w:bCs/>
          <w:color w:val="000000"/>
          <w:sz w:val="32"/>
          <w:szCs w:val="32"/>
        </w:rPr>
      </w:pPr>
      <w:r>
        <w:rPr>
          <w:rFonts w:ascii="Times New Roman" w:hAnsi="Times New Roman" w:eastAsia="方正黑体简体" w:cs="Times New Roman"/>
          <w:bCs/>
          <w:color w:val="000000"/>
          <w:sz w:val="32"/>
          <w:szCs w:val="32"/>
        </w:rPr>
        <w:t>附件：指标体系得分情况</w:t>
      </w:r>
    </w:p>
    <w:p>
      <w:pPr>
        <w:widowControl/>
        <w:jc w:val="left"/>
        <w:rPr>
          <w:rFonts w:ascii="Times New Roman" w:hAnsi="Times New Roman" w:eastAsia="黑体" w:cs="Times New Roman"/>
          <w:sz w:val="28"/>
        </w:rPr>
        <w:sectPr>
          <w:footerReference r:id="rId3" w:type="default"/>
          <w:pgSz w:w="11906" w:h="16838"/>
          <w:pgMar w:top="1871" w:right="1474" w:bottom="1758" w:left="1588" w:header="851" w:footer="992" w:gutter="0"/>
          <w:cols w:space="425" w:num="1"/>
          <w:docGrid w:type="lines" w:linePitch="312" w:charSpace="0"/>
        </w:sectPr>
      </w:pPr>
    </w:p>
    <w:p>
      <w:pPr>
        <w:pStyle w:val="43"/>
        <w:ind w:firstLine="0" w:firstLineChars="0"/>
        <w:rPr>
          <w:rFonts w:ascii="黑体" w:hAnsi="黑体" w:eastAsia="黑体"/>
          <w:color w:val="000000" w:themeColor="text1"/>
          <w:szCs w:val="32"/>
          <w14:textFill>
            <w14:solidFill>
              <w14:schemeClr w14:val="tx1"/>
            </w14:solidFill>
          </w14:textFill>
        </w:rPr>
      </w:pPr>
      <w:r>
        <w:rPr>
          <w:rFonts w:hint="eastAsia" w:ascii="黑体" w:hAnsi="黑体" w:eastAsia="黑体"/>
          <w:color w:val="000000" w:themeColor="text1"/>
          <w:szCs w:val="32"/>
          <w14:textFill>
            <w14:solidFill>
              <w14:schemeClr w14:val="tx1"/>
            </w14:solidFill>
          </w14:textFill>
        </w:rPr>
        <w:t>附件</w:t>
      </w:r>
    </w:p>
    <w:p>
      <w:pPr>
        <w:pStyle w:val="43"/>
        <w:spacing w:after="192" w:afterLines="80" w:line="400" w:lineRule="exact"/>
        <w:ind w:firstLine="0" w:firstLineChars="0"/>
        <w:jc w:val="center"/>
        <w:rPr>
          <w:rFonts w:hint="eastAsia" w:ascii="方正小标宋简体" w:hAnsi="黑体" w:eastAsia="方正小标宋简体"/>
          <w:color w:val="000000" w:themeColor="text1"/>
          <w:sz w:val="36"/>
          <w:szCs w:val="36"/>
          <w:lang w:val="en-US"/>
          <w14:textFill>
            <w14:solidFill>
              <w14:schemeClr w14:val="tx1"/>
            </w14:solidFill>
          </w14:textFill>
        </w:rPr>
      </w:pPr>
      <w:r>
        <w:rPr>
          <w:rFonts w:hint="eastAsia" w:ascii="方正小标宋简体" w:hAnsi="黑体" w:eastAsia="方正小标宋简体"/>
          <w:color w:val="000000" w:themeColor="text1"/>
          <w:sz w:val="36"/>
          <w:szCs w:val="36"/>
          <w14:textFill>
            <w14:solidFill>
              <w14:schemeClr w14:val="tx1"/>
            </w14:solidFill>
          </w14:textFill>
        </w:rPr>
        <w:t>南京市司法局202</w:t>
      </w:r>
      <w:r>
        <w:rPr>
          <w:rFonts w:hint="eastAsia" w:ascii="方正小标宋简体" w:hAnsi="黑体" w:eastAsia="方正小标宋简体"/>
          <w:color w:val="000000" w:themeColor="text1"/>
          <w:sz w:val="36"/>
          <w:szCs w:val="36"/>
          <w:lang w:val="en-US" w:eastAsia="zh-CN"/>
          <w14:textFill>
            <w14:solidFill>
              <w14:schemeClr w14:val="tx1"/>
            </w14:solidFill>
          </w14:textFill>
        </w:rPr>
        <w:t>5</w:t>
      </w:r>
      <w:r>
        <w:rPr>
          <w:rFonts w:hint="eastAsia" w:ascii="方正小标宋简体" w:hAnsi="黑体" w:eastAsia="方正小标宋简体"/>
          <w:color w:val="000000" w:themeColor="text1"/>
          <w:sz w:val="36"/>
          <w:szCs w:val="36"/>
          <w14:textFill>
            <w14:solidFill>
              <w14:schemeClr w14:val="tx1"/>
            </w14:solidFill>
          </w14:textFill>
        </w:rPr>
        <w:t>年指标体系得分情况</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
        <w:gridCol w:w="977"/>
        <w:gridCol w:w="1200"/>
        <w:gridCol w:w="701"/>
        <w:gridCol w:w="3914"/>
        <w:gridCol w:w="4506"/>
        <w:gridCol w:w="528"/>
        <w:gridCol w:w="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0" w:type="auto"/>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一级</w:t>
            </w:r>
          </w:p>
          <w:p>
            <w:pPr>
              <w:jc w:val="center"/>
              <w:rPr>
                <w:rFonts w:ascii="仿宋_GB2312" w:hAnsi="宋体" w:eastAsia="仿宋_GB2312" w:cs="Arial"/>
                <w:b/>
                <w:bCs/>
                <w:sz w:val="20"/>
              </w:rPr>
            </w:pPr>
            <w:r>
              <w:rPr>
                <w:rFonts w:hint="eastAsia" w:ascii="仿宋_GB2312" w:hAnsi="宋体" w:eastAsia="仿宋_GB2312" w:cs="Arial"/>
                <w:b/>
                <w:bCs/>
                <w:sz w:val="20"/>
              </w:rPr>
              <w:t>指标</w:t>
            </w:r>
          </w:p>
        </w:tc>
        <w:tc>
          <w:tcPr>
            <w:tcW w:w="0" w:type="auto"/>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二级</w:t>
            </w:r>
          </w:p>
          <w:p>
            <w:pPr>
              <w:jc w:val="center"/>
              <w:rPr>
                <w:rFonts w:ascii="仿宋_GB2312" w:hAnsi="宋体" w:eastAsia="仿宋_GB2312" w:cs="Arial"/>
                <w:b/>
                <w:bCs/>
                <w:sz w:val="20"/>
              </w:rPr>
            </w:pPr>
            <w:r>
              <w:rPr>
                <w:rFonts w:hint="eastAsia" w:ascii="仿宋_GB2312" w:hAnsi="宋体" w:eastAsia="仿宋_GB2312" w:cs="Arial"/>
                <w:b/>
                <w:bCs/>
                <w:sz w:val="20"/>
              </w:rPr>
              <w:t>指标</w:t>
            </w:r>
          </w:p>
        </w:tc>
        <w:tc>
          <w:tcPr>
            <w:tcW w:w="0" w:type="auto"/>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三级</w:t>
            </w:r>
          </w:p>
          <w:p>
            <w:pPr>
              <w:jc w:val="center"/>
              <w:rPr>
                <w:rFonts w:ascii="仿宋_GB2312" w:hAnsi="宋体" w:eastAsia="仿宋_GB2312" w:cs="Arial"/>
                <w:b/>
                <w:bCs/>
                <w:sz w:val="20"/>
              </w:rPr>
            </w:pPr>
            <w:r>
              <w:rPr>
                <w:rFonts w:hint="eastAsia" w:ascii="仿宋_GB2312" w:hAnsi="宋体" w:eastAsia="仿宋_GB2312" w:cs="Arial"/>
                <w:b/>
                <w:bCs/>
                <w:sz w:val="20"/>
              </w:rPr>
              <w:t>指标</w:t>
            </w:r>
          </w:p>
        </w:tc>
        <w:tc>
          <w:tcPr>
            <w:tcW w:w="0" w:type="auto"/>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标准值</w:t>
            </w:r>
          </w:p>
        </w:tc>
        <w:tc>
          <w:tcPr>
            <w:tcW w:w="0" w:type="auto"/>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评分标准</w:t>
            </w:r>
          </w:p>
        </w:tc>
        <w:tc>
          <w:tcPr>
            <w:tcW w:w="0" w:type="auto"/>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评分过程</w:t>
            </w:r>
          </w:p>
        </w:tc>
        <w:tc>
          <w:tcPr>
            <w:tcW w:w="528" w:type="dxa"/>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分值</w:t>
            </w:r>
          </w:p>
        </w:tc>
        <w:tc>
          <w:tcPr>
            <w:tcW w:w="628" w:type="dxa"/>
            <w:shd w:val="clear" w:color="000000" w:fill="D9D9D9"/>
            <w:vAlign w:val="center"/>
          </w:tcPr>
          <w:p>
            <w:pPr>
              <w:jc w:val="center"/>
              <w:rPr>
                <w:rFonts w:ascii="仿宋_GB2312" w:hAnsi="宋体" w:eastAsia="仿宋_GB2312" w:cs="Arial"/>
                <w:b/>
                <w:bCs/>
                <w:sz w:val="20"/>
              </w:rPr>
            </w:pPr>
            <w:r>
              <w:rPr>
                <w:rFonts w:hint="eastAsia" w:ascii="仿宋_GB2312" w:hAnsi="宋体" w:eastAsia="仿宋_GB2312" w:cs="Arial"/>
                <w:b/>
                <w:bCs/>
                <w:sz w:val="2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部门决策（10）</w:t>
            </w:r>
          </w:p>
        </w:tc>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中长期规划</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部门中长期规划明确性与科学性</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明确、科学</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单位中长期规划是否明确(1分），科学（1分）</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明确制定中长期规划目标，目标制定科学,得2分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0" w:type="auto"/>
            <w:vMerge w:val="continue"/>
            <w:vAlign w:val="center"/>
          </w:tcPr>
          <w:p>
            <w:pPr>
              <w:spacing w:line="226" w:lineRule="exact"/>
              <w:rPr>
                <w:rFonts w:ascii="仿宋_GB2312" w:hAnsi="宋体" w:eastAsia="仿宋_GB2312" w:cs="Arial"/>
                <w:bCs/>
                <w:sz w:val="20"/>
              </w:rPr>
            </w:pPr>
          </w:p>
        </w:tc>
        <w:tc>
          <w:tcPr>
            <w:tcW w:w="0" w:type="auto"/>
            <w:vMerge w:val="continue"/>
            <w:vAlign w:val="center"/>
          </w:tcPr>
          <w:p>
            <w:pPr>
              <w:spacing w:line="226" w:lineRule="exact"/>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部门中长期规划与部门职能的匹配性</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匹配</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单位中长期规划与其部门职能是否匹配（1分）</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制定中长期规划，得2分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0" w:type="auto"/>
            <w:vMerge w:val="continue"/>
            <w:vAlign w:val="center"/>
          </w:tcPr>
          <w:p>
            <w:pPr>
              <w:spacing w:line="226" w:lineRule="exact"/>
              <w:rPr>
                <w:rFonts w:ascii="仿宋_GB2312" w:hAnsi="宋体" w:eastAsia="仿宋_GB2312" w:cs="Arial"/>
                <w:bCs/>
                <w:sz w:val="20"/>
              </w:rPr>
            </w:pPr>
          </w:p>
        </w:tc>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年度工作计划</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年度工作计划的明确性与科学性</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明确、科学</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单位年度工作计划的制定是否明确（1分），科学（1分）</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有明确年度工作计划，已制定科学的年度工作打算,有年度工作要点，得2分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0" w:type="auto"/>
            <w:vMerge w:val="continue"/>
            <w:vAlign w:val="center"/>
          </w:tcPr>
          <w:p>
            <w:pPr>
              <w:spacing w:line="226" w:lineRule="exact"/>
              <w:rPr>
                <w:rFonts w:ascii="仿宋_GB2312" w:hAnsi="宋体" w:eastAsia="仿宋_GB2312" w:cs="Arial"/>
                <w:bCs/>
                <w:sz w:val="20"/>
              </w:rPr>
            </w:pPr>
          </w:p>
        </w:tc>
        <w:tc>
          <w:tcPr>
            <w:tcW w:w="0" w:type="auto"/>
            <w:vMerge w:val="continue"/>
            <w:vAlign w:val="center"/>
          </w:tcPr>
          <w:p>
            <w:pPr>
              <w:spacing w:line="226" w:lineRule="exact"/>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年度工作计划与部门职能的匹配性</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匹配</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lang w:eastAsia="zh-CN"/>
              </w:rPr>
              <w:t>单位</w:t>
            </w:r>
            <w:r>
              <w:rPr>
                <w:rFonts w:hint="eastAsia" w:ascii="仿宋_GB2312" w:hAnsi="宋体" w:eastAsia="仿宋_GB2312" w:cs="Arial"/>
                <w:bCs/>
                <w:sz w:val="20"/>
              </w:rPr>
              <w:t>年度工作计划与部门职能的匹配性（2分）</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部分目标无明确量化，已制定年度工作打算，但年度重点工作目标的主体及内容不够明确细化，扣1分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0" w:type="auto"/>
            <w:vMerge w:val="continue"/>
            <w:vAlign w:val="center"/>
          </w:tcPr>
          <w:p>
            <w:pPr>
              <w:spacing w:line="226" w:lineRule="exact"/>
              <w:rPr>
                <w:rFonts w:ascii="仿宋_GB2312" w:hAnsi="宋体" w:eastAsia="仿宋_GB2312" w:cs="Arial"/>
                <w:bCs/>
                <w:sz w:val="20"/>
              </w:rPr>
            </w:pPr>
          </w:p>
        </w:tc>
        <w:tc>
          <w:tcPr>
            <w:tcW w:w="0" w:type="auto"/>
            <w:vMerge w:val="continue"/>
            <w:vAlign w:val="center"/>
          </w:tcPr>
          <w:p>
            <w:pPr>
              <w:spacing w:line="226" w:lineRule="exact"/>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 xml:space="preserve">年度工作计划与工作目标的一致性 </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一致</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单位年度工作计划与工作目标的一致性，是否高度相关（2分）</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lang w:eastAsia="zh-CN"/>
              </w:rPr>
              <w:t>2025</w:t>
            </w:r>
            <w:r>
              <w:rPr>
                <w:rFonts w:hint="eastAsia" w:ascii="仿宋_GB2312" w:hAnsi="宋体" w:eastAsia="仿宋_GB2312" w:cs="Arial"/>
                <w:bCs/>
                <w:sz w:val="20"/>
              </w:rPr>
              <w:t>年度工作计划与工作目标相一致，得2分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部门管理（20）</w:t>
            </w:r>
          </w:p>
        </w:tc>
        <w:tc>
          <w:tcPr>
            <w:tcW w:w="0" w:type="auto"/>
            <w:vMerge w:val="restart"/>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资金管理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预算执行率</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100%</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单位预算支出的预算执行情况（3分）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lang w:eastAsia="zh-CN"/>
              </w:rPr>
              <w:t>2025</w:t>
            </w:r>
            <w:r>
              <w:rPr>
                <w:rFonts w:hint="eastAsia" w:ascii="仿宋_GB2312" w:hAnsi="宋体" w:eastAsia="仿宋_GB2312" w:cs="Arial"/>
                <w:bCs/>
                <w:sz w:val="20"/>
              </w:rPr>
              <w:t>年度部门预算执行率=实际支出额/部门预算资金总额=</w:t>
            </w:r>
            <w:r>
              <w:rPr>
                <w:rFonts w:hint="eastAsia" w:ascii="仿宋_GB2312" w:hAnsi="宋体" w:eastAsia="仿宋_GB2312" w:cs="Arial"/>
                <w:bCs/>
                <w:sz w:val="20"/>
                <w:lang w:val="en-US" w:eastAsia="zh-CN"/>
              </w:rPr>
              <w:t>100</w:t>
            </w:r>
            <w:r>
              <w:rPr>
                <w:rFonts w:hint="eastAsia" w:ascii="仿宋_GB2312" w:hAnsi="宋体" w:eastAsia="仿宋_GB2312" w:cs="Arial"/>
                <w:bCs/>
                <w:sz w:val="20"/>
              </w:rPr>
              <w:t>%,得3分</w:t>
            </w:r>
          </w:p>
        </w:tc>
        <w:tc>
          <w:tcPr>
            <w:tcW w:w="5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3</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三公经费控制率</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100%</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单位对控制重点行政成本的努力程度（控制率为部门本年度“三公经费”预算数与本年度“三公经费”决算数的比率）（</w:t>
            </w:r>
            <w:r>
              <w:rPr>
                <w:rFonts w:hint="eastAsia" w:ascii="仿宋_GB2312" w:hAnsi="宋体" w:cs="宋体"/>
                <w:bCs/>
                <w:sz w:val="20"/>
              </w:rPr>
              <w:t>≦</w:t>
            </w:r>
            <w:r>
              <w:rPr>
                <w:rFonts w:hint="eastAsia" w:ascii="仿宋_GB2312" w:hAnsi="宋体" w:eastAsia="仿宋_GB2312" w:cs="宋体"/>
                <w:bCs/>
                <w:sz w:val="20"/>
              </w:rPr>
              <w:t>100%，得2分）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lang w:eastAsia="zh-CN"/>
              </w:rPr>
              <w:t>2025</w:t>
            </w:r>
            <w:r>
              <w:rPr>
                <w:rFonts w:hint="eastAsia" w:ascii="仿宋_GB2312" w:hAnsi="宋体" w:eastAsia="仿宋_GB2312" w:cs="Arial"/>
                <w:bCs/>
                <w:sz w:val="20"/>
              </w:rPr>
              <w:t>年度三公经费，控制在标准范围内，得2分</w:t>
            </w:r>
          </w:p>
        </w:tc>
        <w:tc>
          <w:tcPr>
            <w:tcW w:w="5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资金使用合规性</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合规</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预算资金是否下划及时并规范使用（2分）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部门收支管理按照司法局内控管理手册执行等制度执行,得2分</w:t>
            </w:r>
          </w:p>
        </w:tc>
        <w:tc>
          <w:tcPr>
            <w:tcW w:w="5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预决算公开情况</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公开</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预决算是否在“双平台”进行公开（1分），内容和时限是否符合要求（1分）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预决算工作已按规定及时进行公开,得2分</w:t>
            </w:r>
          </w:p>
        </w:tc>
        <w:tc>
          <w:tcPr>
            <w:tcW w:w="5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制度管理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内控制度健全、有效执行情况</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规范、有效</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单位内控制度是否健全、规范，执行管理制度是否有效(健全、规范得3分）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出台了《内部控制管理手册》，得3分</w:t>
            </w:r>
          </w:p>
        </w:tc>
        <w:tc>
          <w:tcPr>
            <w:tcW w:w="5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3</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仿宋_GB2312" w:hAnsi="宋体" w:eastAsia="仿宋_GB2312" w:cs="Arial"/>
                <w:bCs/>
                <w:sz w:val="20"/>
                <w:lang w:val="en-US" w:eastAsia="zh-CN"/>
              </w:rPr>
            </w:pPr>
            <w:r>
              <w:rPr>
                <w:rFonts w:hint="eastAsia" w:ascii="仿宋_GB2312" w:hAnsi="宋体" w:eastAsia="仿宋_GB2312" w:cs="Arial"/>
                <w:bCs/>
                <w:sz w:val="20"/>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政府采购制度执行有效性</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有效</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单位是否规范执行专项资金项目管理制度（2分）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严格执行政府采购管理制度，未发现与制度不符合之处,得2分</w:t>
            </w:r>
          </w:p>
        </w:tc>
        <w:tc>
          <w:tcPr>
            <w:tcW w:w="5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人力资源管理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人事管理制度健全性</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健全</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单位是否建立有完备的人事管理制度（3分）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ascii="仿宋_GB2312" w:hAnsi="宋体" w:eastAsia="仿宋_GB2312" w:cs="Arial"/>
                <w:bCs/>
                <w:sz w:val="20"/>
              </w:rPr>
            </w:pPr>
            <w:r>
              <w:rPr>
                <w:rFonts w:hint="eastAsia" w:ascii="仿宋_GB2312" w:hAnsi="宋体" w:eastAsia="仿宋_GB2312" w:cs="Arial"/>
                <w:bCs/>
                <w:sz w:val="20"/>
              </w:rPr>
              <w:t>建立完善的人事管理制度,得3分</w:t>
            </w:r>
          </w:p>
        </w:tc>
        <w:tc>
          <w:tcPr>
            <w:tcW w:w="5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3</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在职人员结构合理性</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合理</w:t>
            </w:r>
          </w:p>
        </w:tc>
        <w:tc>
          <w:tcPr>
            <w:tcW w:w="0" w:type="auto"/>
            <w:tcBorders>
              <w:top w:val="single" w:color="auto" w:sz="4" w:space="0"/>
              <w:left w:val="single" w:color="auto" w:sz="4" w:space="0"/>
              <w:bottom w:val="single" w:color="auto" w:sz="4" w:space="0"/>
              <w:right w:val="single" w:color="auto" w:sz="4" w:space="0"/>
            </w:tcBorders>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单位现有人员结构是否合理（3分）</w:t>
            </w:r>
          </w:p>
        </w:tc>
        <w:tc>
          <w:tcPr>
            <w:tcW w:w="0" w:type="auto"/>
            <w:tcBorders>
              <w:top w:val="single" w:color="auto" w:sz="4" w:space="0"/>
              <w:left w:val="single" w:color="auto" w:sz="4" w:space="0"/>
              <w:bottom w:val="single" w:color="auto" w:sz="4" w:space="0"/>
              <w:right w:val="single" w:color="auto" w:sz="4" w:space="0"/>
            </w:tcBorders>
            <w:vAlign w:val="center"/>
          </w:tcPr>
          <w:p>
            <w:pPr>
              <w:pStyle w:val="43"/>
              <w:spacing w:line="226" w:lineRule="exact"/>
              <w:ind w:firstLine="0" w:firstLineChars="0"/>
              <w:rPr>
                <w:rFonts w:hint="eastAsia" w:ascii="仿宋_GB2312" w:hAnsi="宋体" w:eastAsia="仿宋_GB2312" w:cs="Arial"/>
                <w:bCs/>
                <w:sz w:val="20"/>
                <w:lang w:eastAsia="zh-CN"/>
              </w:rPr>
            </w:pPr>
            <w:r>
              <w:rPr>
                <w:rFonts w:hint="eastAsia" w:ascii="仿宋_GB2312" w:hAnsi="宋体" w:eastAsia="仿宋_GB2312" w:cs="Arial"/>
                <w:bCs/>
                <w:sz w:val="20"/>
              </w:rPr>
              <w:t>人员结构合理</w:t>
            </w:r>
            <w:r>
              <w:rPr>
                <w:rFonts w:hint="eastAsia" w:ascii="仿宋_GB2312" w:hAnsi="宋体" w:eastAsia="仿宋_GB2312" w:cs="Arial"/>
                <w:bCs/>
                <w:sz w:val="20"/>
                <w:lang w:eastAsia="zh-CN"/>
              </w:rPr>
              <w:t>，</w:t>
            </w:r>
            <w:r>
              <w:rPr>
                <w:rFonts w:hint="eastAsia" w:ascii="仿宋_GB2312" w:hAnsi="宋体" w:eastAsia="仿宋_GB2312" w:cs="Arial"/>
                <w:bCs/>
                <w:sz w:val="20"/>
              </w:rPr>
              <w:t>得3</w:t>
            </w:r>
            <w:r>
              <w:rPr>
                <w:rFonts w:hint="eastAsia" w:ascii="仿宋_GB2312" w:hAnsi="宋体" w:eastAsia="仿宋_GB2312" w:cs="Arial"/>
                <w:bCs/>
                <w:sz w:val="20"/>
                <w:lang w:eastAsia="zh-CN"/>
              </w:rPr>
              <w:t>分</w:t>
            </w:r>
          </w:p>
        </w:tc>
        <w:tc>
          <w:tcPr>
            <w:tcW w:w="528" w:type="dxa"/>
            <w:tcBorders>
              <w:top w:val="single" w:color="auto" w:sz="4" w:space="0"/>
              <w:left w:val="single" w:color="auto" w:sz="4" w:space="0"/>
              <w:bottom w:val="single" w:color="auto" w:sz="4" w:space="0"/>
              <w:right w:val="single" w:color="auto" w:sz="4" w:space="0"/>
            </w:tcBorders>
          </w:tcPr>
          <w:p>
            <w:pPr>
              <w:spacing w:line="226" w:lineRule="exact"/>
              <w:jc w:val="center"/>
              <w:rPr>
                <w:rFonts w:hint="eastAsia" w:ascii="仿宋_GB2312" w:hAnsi="宋体" w:eastAsia="仿宋_GB2312" w:cs="Arial"/>
                <w:bCs/>
                <w:sz w:val="20"/>
                <w:lang w:val="en-US" w:eastAsia="zh-CN"/>
              </w:rPr>
            </w:pPr>
          </w:p>
          <w:p>
            <w:pPr>
              <w:spacing w:line="226" w:lineRule="exact"/>
              <w:jc w:val="center"/>
              <w:rPr>
                <w:rFonts w:hint="eastAsia" w:ascii="仿宋_GB2312" w:hAnsi="宋体" w:eastAsia="仿宋_GB2312" w:cs="Arial"/>
                <w:bCs/>
                <w:sz w:val="20"/>
                <w:lang w:val="en-US" w:eastAsia="zh-CN"/>
              </w:rPr>
            </w:pPr>
            <w:r>
              <w:rPr>
                <w:rFonts w:hint="eastAsia" w:ascii="仿宋_GB2312" w:hAnsi="宋体" w:eastAsia="仿宋_GB2312" w:cs="Arial"/>
                <w:bCs/>
                <w:sz w:val="20"/>
                <w:lang w:val="en-US" w:eastAsia="zh-CN"/>
              </w:rPr>
              <w:t>3</w:t>
            </w:r>
          </w:p>
        </w:tc>
        <w:tc>
          <w:tcPr>
            <w:tcW w:w="628"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仿宋_GB2312" w:hAnsi="宋体" w:eastAsia="仿宋_GB2312" w:cs="Arial"/>
                <w:bCs/>
                <w:sz w:val="20"/>
                <w:lang w:val="en-US" w:eastAsia="zh-CN"/>
              </w:rPr>
            </w:pPr>
            <w:r>
              <w:rPr>
                <w:rFonts w:hint="eastAsia" w:ascii="仿宋_GB2312" w:hAnsi="宋体" w:eastAsia="仿宋_GB2312" w:cs="Arial"/>
                <w:bCs/>
                <w:sz w:val="20"/>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0" w:type="auto"/>
            <w:vMerge w:val="restart"/>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部门履职（36分）</w:t>
            </w:r>
          </w:p>
        </w:tc>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推进法治建设工作任务落实</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完成情况</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完成</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单位是否完成:①</w:t>
            </w:r>
            <w:r>
              <w:rPr>
                <w:rFonts w:hint="eastAsia" w:ascii="仿宋_GB2312" w:eastAsia="仿宋_GB2312"/>
                <w:szCs w:val="32"/>
              </w:rPr>
              <w:t>高效统抓依法治市</w:t>
            </w:r>
            <w:r>
              <w:rPr>
                <w:rFonts w:hint="eastAsia" w:ascii="仿宋_GB2312" w:hAnsi="宋体" w:eastAsia="仿宋_GB2312" w:cs="Arial"/>
                <w:bCs/>
                <w:sz w:val="20"/>
              </w:rPr>
              <w:t>②</w:t>
            </w:r>
            <w:r>
              <w:rPr>
                <w:rFonts w:hint="eastAsia" w:ascii="仿宋_GB2312" w:eastAsia="仿宋_GB2312"/>
                <w:szCs w:val="32"/>
              </w:rPr>
              <w:t>工作</w:t>
            </w:r>
            <w:r>
              <w:rPr>
                <w:rFonts w:hint="eastAsia" w:ascii="仿宋_GB2312" w:hAnsi="宋体" w:eastAsia="仿宋_GB2312" w:cs="Arial"/>
                <w:bCs/>
                <w:sz w:val="20"/>
              </w:rPr>
              <w:t>法治政府建设③提升政府工作法治化水平④打造最优法治化营商环境</w:t>
            </w:r>
          </w:p>
        </w:tc>
        <w:tc>
          <w:tcPr>
            <w:tcW w:w="0" w:type="auto"/>
            <w:vAlign w:val="center"/>
          </w:tcPr>
          <w:p>
            <w:pPr>
              <w:spacing w:line="226" w:lineRule="exact"/>
              <w:jc w:val="left"/>
              <w:rPr>
                <w:rFonts w:ascii="仿宋_GB2312" w:hAnsi="宋体" w:eastAsia="仿宋_GB2312" w:cs="Arial"/>
                <w:bCs/>
                <w:sz w:val="20"/>
              </w:rPr>
            </w:pPr>
            <w:r>
              <w:rPr>
                <w:rFonts w:hint="eastAsia" w:ascii="仿宋_GB2312" w:eastAsia="仿宋_GB2312"/>
                <w:szCs w:val="32"/>
                <w:lang w:val="en-US" w:eastAsia="zh-CN"/>
              </w:rPr>
              <w:t>①</w:t>
            </w:r>
            <w:r>
              <w:rPr>
                <w:rFonts w:hint="eastAsia" w:ascii="仿宋_GB2312" w:eastAsia="仿宋_GB2312"/>
                <w:szCs w:val="32"/>
              </w:rPr>
              <w:t>高效统抓依法治市工作。组织召开市委依法治市委员会第五次会议暨党政主要负责人专题述法会议；研究谋划市委全面依法治市委员会2025年度工作要点，制定市委依法治市办年度工作计划。组织开展法治建设“一规划两方案”实施情况总结工作。组织实施2025年法治为民十件实事。</w:t>
            </w:r>
            <w:r>
              <w:rPr>
                <w:rFonts w:hint="eastAsia" w:ascii="仿宋_GB2312" w:eastAsia="仿宋_GB2312"/>
                <w:szCs w:val="32"/>
                <w:lang w:val="en-US" w:eastAsia="zh-CN"/>
              </w:rPr>
              <w:t>②</w:t>
            </w:r>
            <w:r>
              <w:rPr>
                <w:rFonts w:hint="eastAsia" w:ascii="仿宋_GB2312" w:eastAsia="仿宋_GB2312"/>
                <w:szCs w:val="32"/>
              </w:rPr>
              <w:t>不断深化法治政府建设。成功获评“全国法治政府建设示范地区”；起草《南京市2024年度法治政府建设情况报告》配合市“两办”完成报告的报送及向社会公开工作；完成《南京市人民政府2025年度重大行政决策事项目录》编制工作。</w:t>
            </w:r>
            <w:r>
              <w:rPr>
                <w:rFonts w:hint="eastAsia" w:ascii="仿宋_GB2312" w:eastAsia="仿宋_GB2312"/>
                <w:szCs w:val="32"/>
                <w:lang w:val="en-US" w:eastAsia="zh-CN"/>
              </w:rPr>
              <w:t>③</w:t>
            </w:r>
            <w:r>
              <w:rPr>
                <w:rFonts w:hint="eastAsia" w:ascii="仿宋_GB2312" w:eastAsia="仿宋_GB2312"/>
                <w:szCs w:val="32"/>
              </w:rPr>
              <w:t>积极推进立法计划项目。围绕科技发展、生态环境、民生保障、历史文化保护、安全发展等重点领域，确定11件年度立法正式项目，其中由市政府报送议案的地方性法规项目7件，规章正式项目4件。目前已完成《南京市知识产权保护和促进条例》等6件由市政府报送议案的地方性法规项目，《南京市水土保持办法》等2件政府规章待审议，1件地方性法规、2件政府规章基本完成立法审查工作。另外，《南京城市照明管理办法》是新增政府规章项目，目前也已完成立法审查工作。</w:t>
            </w:r>
            <w:r>
              <w:rPr>
                <w:rFonts w:hint="eastAsia" w:ascii="仿宋_GB2312" w:eastAsia="仿宋_GB2312"/>
                <w:szCs w:val="32"/>
                <w:lang w:val="en-US" w:eastAsia="zh-CN"/>
              </w:rPr>
              <w:t>④</w:t>
            </w:r>
            <w:r>
              <w:rPr>
                <w:rFonts w:hint="eastAsia" w:ascii="仿宋_GB2312" w:eastAsia="仿宋_GB2312"/>
                <w:szCs w:val="32"/>
              </w:rPr>
              <w:t>开展规范涉企行政检查和规范涉企行政执法专项行动。发布《南京市关于严格规范涉企行政检查的措施》，召开规范涉企行政检查和涉企行政执法专项行动工作部署推进会。得2分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完成</w:t>
            </w:r>
          </w:p>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及时性</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及时</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单位上述四项工作是否按要求在规定时间完成，完成得权重分，每发现一项工作未及时完成，扣0.5分,扣完为止</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上述四项工作均于年度内完成相关工作，得2分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完成质量</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 xml:space="preserve">达标 </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单位①法治建设全面推进②积极推动法治政府示范创建③规范开展地方立法④推动行政争议有效化解</w:t>
            </w:r>
            <w:r>
              <w:rPr>
                <w:rFonts w:hint="eastAsia" w:ascii="仿宋_GB2312" w:hAnsi="宋体" w:eastAsia="仿宋_GB2312" w:cs="Arial"/>
                <w:bCs/>
                <w:sz w:val="20"/>
                <w:lang w:eastAsia="zh-CN"/>
              </w:rPr>
              <w:t>。</w:t>
            </w:r>
            <w:r>
              <w:rPr>
                <w:rFonts w:hint="eastAsia" w:ascii="仿宋_GB2312" w:hAnsi="宋体" w:eastAsia="仿宋_GB2312" w:cs="Arial"/>
                <w:bCs/>
                <w:sz w:val="20"/>
              </w:rPr>
              <w:t>四项工作是否达到效果，每项不达标扣权重0.5分，扣完为止</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上述工作均完成且达预定效果，</w:t>
            </w:r>
            <w:r>
              <w:rPr>
                <w:rFonts w:hint="eastAsia" w:ascii="仿宋_GB2312" w:hAnsi="宋体" w:eastAsia="仿宋_GB2312" w:cs="Arial"/>
                <w:bCs/>
                <w:sz w:val="20"/>
                <w:lang w:val="en-US" w:eastAsia="zh-CN"/>
              </w:rPr>
              <w:t>但</w:t>
            </w:r>
            <w:r>
              <w:rPr>
                <w:rFonts w:hint="default" w:ascii="仿宋_GB2312" w:eastAsia="仿宋_GB2312"/>
                <w:color w:val="auto"/>
                <w:szCs w:val="32"/>
                <w:lang w:val="en-US" w:eastAsia="zh-CN"/>
              </w:rPr>
              <w:t>法治服务高质量发展的作用发挥还不充分</w:t>
            </w:r>
            <w:r>
              <w:rPr>
                <w:rFonts w:hint="eastAsia" w:ascii="仿宋_GB2312" w:eastAsia="仿宋_GB2312"/>
                <w:color w:val="auto"/>
                <w:szCs w:val="32"/>
                <w:lang w:val="en-US" w:eastAsia="zh-CN"/>
              </w:rPr>
              <w:t>，酌情扣1分，</w:t>
            </w:r>
            <w:r>
              <w:rPr>
                <w:rFonts w:hint="eastAsia" w:ascii="仿宋_GB2312" w:hAnsi="宋体" w:eastAsia="仿宋_GB2312" w:cs="Arial"/>
                <w:bCs/>
                <w:sz w:val="20"/>
              </w:rPr>
              <w:t>得</w:t>
            </w:r>
            <w:r>
              <w:rPr>
                <w:rFonts w:hint="eastAsia" w:ascii="仿宋_GB2312" w:hAnsi="宋体" w:eastAsia="仿宋_GB2312" w:cs="Arial"/>
                <w:bCs/>
                <w:sz w:val="20"/>
                <w:lang w:val="en-US" w:eastAsia="zh-CN"/>
              </w:rPr>
              <w:t>1</w:t>
            </w:r>
            <w:r>
              <w:rPr>
                <w:rFonts w:hint="eastAsia" w:ascii="仿宋_GB2312" w:hAnsi="宋体" w:eastAsia="仿宋_GB2312" w:cs="Arial"/>
                <w:bCs/>
                <w:sz w:val="20"/>
              </w:rPr>
              <w:t>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社会治理现代化、全面履行司法各项职能</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完成情况</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完成</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是否完成:①法治宣传深入开展②法律服务提质增效③深化助企纾困活动④提供法治惠民服务⑤护航重大项目建设⑥浓厚普法宣传氛围⑦加大重点人群普法教育⑧加强矛盾纠纷排查调处⑨强化特殊人群管理帮扶</w:t>
            </w:r>
            <w:r>
              <w:rPr>
                <w:rFonts w:hint="eastAsia" w:ascii="仿宋_GB2312" w:hAnsi="宋体" w:eastAsia="仿宋_GB2312" w:cs="Arial"/>
                <w:bCs/>
                <w:sz w:val="20"/>
                <w:lang w:val="en-US" w:eastAsia="zh-CN"/>
              </w:rPr>
              <w:t>和</w:t>
            </w:r>
            <w:r>
              <w:rPr>
                <w:rFonts w:hint="eastAsia" w:ascii="仿宋_GB2312" w:hAnsi="宋体" w:eastAsia="仿宋_GB2312" w:cs="Arial"/>
                <w:bCs/>
                <w:sz w:val="20"/>
                <w:lang w:eastAsia="zh-CN"/>
              </w:rPr>
              <w:t>重点场所安全</w:t>
            </w:r>
            <w:r>
              <w:rPr>
                <w:rFonts w:hint="eastAsia" w:ascii="仿宋_GB2312" w:hAnsi="宋体" w:eastAsia="仿宋_GB2312" w:cs="Arial"/>
                <w:bCs/>
                <w:sz w:val="20"/>
                <w:lang w:val="en-US" w:eastAsia="zh-CN"/>
              </w:rPr>
              <w:t>管理</w:t>
            </w:r>
            <w:r>
              <w:rPr>
                <w:rFonts w:hint="eastAsia" w:ascii="仿宋_GB2312" w:hAnsi="宋体" w:eastAsia="仿宋_GB2312" w:cs="Arial"/>
                <w:bCs/>
                <w:sz w:val="20"/>
              </w:rPr>
              <w:t>。⑩开展专项排查整治行动。以上权重各1分，每发现一项未完成，扣1分，扣完为止</w:t>
            </w:r>
          </w:p>
        </w:tc>
        <w:tc>
          <w:tcPr>
            <w:tcW w:w="0" w:type="auto"/>
            <w:vAlign w:val="center"/>
          </w:tcPr>
          <w:p>
            <w:pPr>
              <w:spacing w:line="226" w:lineRule="exact"/>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①依法办理行政复议案件。今年以来，共收到市政府为复议机关的行政复议申请1304件，不予受理170件，受理1134件，受理数较去年增加42.04%。已审结887件。②认真做好行政应诉工作。</w:t>
            </w:r>
            <w:r>
              <w:rPr>
                <w:rFonts w:hint="eastAsia" w:ascii="仿宋_GB2312" w:hAnsi="宋体" w:eastAsia="仿宋_GB2312" w:cs="Arial"/>
                <w:bCs/>
                <w:sz w:val="20"/>
                <w:lang w:val="zh-CN" w:eastAsia="zh-CN"/>
              </w:rPr>
              <w:t>今年以来，共承办以市政府为被告的行政诉讼案件616件，同比增长52.85%；制发《行政机关主要负责人出庭应诉工作提示函》，强化行政机关负责人出庭应诉，已有11个区、4个市级部门主要负责人出庭应诉。</w:t>
            </w:r>
            <w:r>
              <w:rPr>
                <w:rFonts w:hint="eastAsia" w:ascii="仿宋_GB2312" w:hAnsi="宋体" w:eastAsia="仿宋_GB2312" w:cs="Arial"/>
                <w:bCs/>
                <w:sz w:val="20"/>
                <w:lang w:val="en-US" w:eastAsia="zh-CN"/>
              </w:rPr>
              <w:t>③加强矛盾纠纷排查调处。完成“化解矛盾风险、维护社会稳定”专项治理，在全市范围开展社会风险隐患排查，动态掌握摸排数据；④强化特殊人群管理帮扶。司法部在南京召开统筹推进“五项工作”暨基层依法治理工作推进会。赴常州、宜兴、无锡等监狱开展合作共建活动，组织各区局与南京周边8家监所对接，签订共建协议，推进刑罚执行一体化工作深入开展。⑤积极探索罪错未成年人教育矫治“所校”融合发展新模式。选派管教经验丰富的戒毒民警成立专门教育矫治大队，参与专门学校的日常管理、行为养成矫治教育。⑥推进“八五”普法收官各项重点工作。部署全市“八五”普法总结，收集市级各部门、各板块和单位的特色亮点工作，在市委党刊《金陵瞭望》推出“八五”普法工作特刊，集中反映工作成果。围绕普法40周年，开展“普法长卷•金陵故事”系列宣传。⑦开展新一轮法治薄弱村（社区）排查整治。在市委政法委的领导下，市政法部门等15个单位联合在全市开展第二批法治薄弱村（社区）排查工作，确定20个法治薄弱村（社区）。通过调整清单内容、加大派驻干警力量、加强领导包案制度落实，有针对性地解决短板弱项，有效提升基层人员法治意识和依法治理水平。⑧开展专项普法工作。组织开展第十九届“农民工学法活动周”活动，广泛宣传与农民工合法权益密切相关的法律法规。组织 “民法典宣传月”、鸟类保护、“宪法宣传周”等专题法治宣传活动，联合市委宣传部在《南京日报》、地铁站厅等线上线下平台投放普法宣传公益广告。组织第三届“七彩夏日•与法‘童’行”青少年法治研学，联合市教育局开展第九届南京市学生“学宪法 讲宪法”活动，让学生沉浸式学法讲法。⑨加强涉企法治服务保障。在全国率先成立跨境电商知识产权保护联盟，通过“仲裁+公证+行政”机制，为跨境电商企业提供全方位服务；推进产业链+法律服务，新增“集成电路”“生物医药”“储能与氢能”“未来网络与先进通信”4个产业链律师工作站，组织走访链上企业90家，收集排查企业法律风险服务需求206条，帮助企业化解风险解决问题50条，建立长效机制22项；持续深化“万所联万会”，新增17家律所与30家商会进行对接，4家律所党组织与9个商会或企业党组织形成了共建关系。⑩提供更多惠民服务。规范涉及保险理赔司法鉴定工作，发布地方标准《道路车辆类型鉴定规范》，加强司法鉴定机构规范化建设，截至目前，办理四大类司法鉴定案件2.77万余件；办理各类公证18.3万余件，其中符合减免费用规定的公证960件，减免费用达98万元。12348公共法律服务热线接听咨询13.34万人次，接通率为97.19%，满意率为99.2%。做实涉外法律服务。建成江苏（南京）涉外法律服务中心，10月13日，中心公共服务平台正式运营，受到省市电视和媒体关注报道。加大法律援助力度。推进审查起诉阶段律师辩护全覆盖工作，会同市检察院、市律协等，通过完善工作机制、加强值班律师队伍建设等措施，加强犯罪嫌疑人和被告人权益保护。</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10</w:t>
            </w:r>
          </w:p>
        </w:tc>
        <w:tc>
          <w:tcPr>
            <w:tcW w:w="628" w:type="dxa"/>
            <w:vAlign w:val="center"/>
          </w:tcPr>
          <w:p>
            <w:pPr>
              <w:spacing w:line="226" w:lineRule="exact"/>
              <w:jc w:val="center"/>
              <w:rPr>
                <w:rFonts w:hint="default" w:ascii="仿宋_GB2312" w:hAnsi="宋体" w:eastAsia="仿宋_GB2312" w:cs="Arial"/>
                <w:lang w:val="en-US" w:eastAsia="zh-CN"/>
              </w:rPr>
            </w:pPr>
            <w:r>
              <w:rPr>
                <w:rFonts w:hint="eastAsia" w:ascii="仿宋_GB2312" w:hAnsi="宋体" w:eastAsia="仿宋_GB2312" w:cs="Arial"/>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完成</w:t>
            </w:r>
          </w:p>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及时性</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及时</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单位上述十项工作是否按要求在规定时间完成，完成得权重分，每发现一项工作未及时完成，扣0.5分,扣完为止</w:t>
            </w:r>
          </w:p>
        </w:tc>
        <w:tc>
          <w:tcPr>
            <w:tcW w:w="0" w:type="auto"/>
            <w:vAlign w:val="center"/>
          </w:tcPr>
          <w:p>
            <w:pPr>
              <w:spacing w:line="226" w:lineRule="exact"/>
              <w:rPr>
                <w:rFonts w:hint="eastAsia" w:ascii="仿宋_GB2312" w:hAnsi="宋体" w:eastAsia="仿宋_GB2312" w:cs="Arial"/>
                <w:bCs/>
                <w:sz w:val="20"/>
              </w:rPr>
            </w:pPr>
            <w:r>
              <w:rPr>
                <w:rFonts w:hint="eastAsia" w:ascii="仿宋_GB2312" w:hAnsi="宋体" w:eastAsia="仿宋_GB2312" w:cs="Arial"/>
                <w:bCs/>
                <w:sz w:val="20"/>
              </w:rPr>
              <w:t>上述工作均完成且达预定效果，扣权重分</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分，得</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5</w:t>
            </w:r>
          </w:p>
        </w:tc>
        <w:tc>
          <w:tcPr>
            <w:tcW w:w="628" w:type="dxa"/>
            <w:vAlign w:val="center"/>
          </w:tcPr>
          <w:p>
            <w:pPr>
              <w:spacing w:line="226" w:lineRule="exact"/>
              <w:jc w:val="center"/>
              <w:rPr>
                <w:rFonts w:ascii="仿宋_GB2312" w:hAnsi="宋体" w:eastAsia="仿宋_GB2312" w:cs="Arial"/>
              </w:rPr>
            </w:pPr>
            <w:r>
              <w:rPr>
                <w:rFonts w:hint="eastAsia" w:ascii="仿宋_GB2312" w:hAnsi="宋体" w:eastAsia="仿宋_GB2312" w:cs="Arial"/>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完成质量</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 xml:space="preserve">达标 </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单位上述十项工作完成是否达标，达标得权重分，每发现一项工作未达标，扣0.5分,扣完为止</w:t>
            </w:r>
          </w:p>
        </w:tc>
        <w:tc>
          <w:tcPr>
            <w:tcW w:w="0" w:type="auto"/>
            <w:vAlign w:val="center"/>
          </w:tcPr>
          <w:p>
            <w:pPr>
              <w:spacing w:line="226" w:lineRule="exact"/>
              <w:rPr>
                <w:rFonts w:ascii="仿宋_GB2312" w:hAnsi="宋体" w:eastAsia="仿宋_GB2312" w:cs="Arial"/>
                <w:bCs/>
                <w:color w:val="FF0000"/>
                <w:sz w:val="20"/>
              </w:rPr>
            </w:pPr>
            <w:r>
              <w:rPr>
                <w:rFonts w:hint="eastAsia" w:ascii="仿宋_GB2312" w:hAnsi="宋体" w:eastAsia="仿宋_GB2312" w:cs="Arial"/>
                <w:bCs/>
                <w:sz w:val="20"/>
              </w:rPr>
              <w:t>上述工作均完成且达预定效果，扣权重分</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分，得</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5</w:t>
            </w:r>
          </w:p>
        </w:tc>
        <w:tc>
          <w:tcPr>
            <w:tcW w:w="628" w:type="dxa"/>
            <w:vAlign w:val="center"/>
          </w:tcPr>
          <w:p>
            <w:pPr>
              <w:spacing w:line="226" w:lineRule="exact"/>
              <w:jc w:val="center"/>
              <w:rPr>
                <w:rFonts w:hint="eastAsia" w:ascii="仿宋_GB2312" w:hAnsi="宋体" w:eastAsia="仿宋_GB2312" w:cs="Arial"/>
                <w:lang w:eastAsia="zh-CN"/>
              </w:rPr>
            </w:pPr>
            <w:r>
              <w:rPr>
                <w:rFonts w:hint="eastAsia" w:ascii="仿宋_GB2312" w:hAnsi="宋体" w:eastAsia="仿宋_GB2312" w:cs="Arial"/>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加强司法行政自身建设</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完成情况</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完成</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单位是否加强司法行政自身建设①深入学习贯彻习近平法治思想②统筹推进依法治市工作，每发现一项未完成扣1分，扣完为止</w:t>
            </w:r>
          </w:p>
        </w:tc>
        <w:tc>
          <w:tcPr>
            <w:tcW w:w="0" w:type="auto"/>
            <w:vAlign w:val="center"/>
          </w:tcPr>
          <w:p>
            <w:pPr>
              <w:spacing w:line="226" w:lineRule="exact"/>
              <w:rPr>
                <w:rFonts w:hint="eastAsia" w:ascii="仿宋_GB2312" w:hAnsi="宋体" w:eastAsia="仿宋_GB2312" w:cs="Arial"/>
                <w:bCs/>
                <w:sz w:val="20"/>
                <w:lang w:eastAsia="zh-CN"/>
              </w:rPr>
            </w:pPr>
            <w:r>
              <w:rPr>
                <w:rFonts w:hint="eastAsia" w:ascii="仿宋_GB2312" w:hAnsi="宋体" w:eastAsia="仿宋_GB2312" w:cs="Arial"/>
                <w:bCs/>
                <w:sz w:val="20"/>
              </w:rPr>
              <w:t>上述二项相关工作，工作均于年度内完成,</w:t>
            </w:r>
            <w:r>
              <w:rPr>
                <w:rFonts w:hint="eastAsia" w:ascii="仿宋_GB2312" w:hAnsi="宋体" w:eastAsia="仿宋_GB2312" w:cs="Arial"/>
                <w:bCs/>
                <w:sz w:val="20"/>
                <w:lang w:val="en-US" w:eastAsia="zh-CN"/>
              </w:rPr>
              <w:t>2</w:t>
            </w:r>
            <w:r>
              <w:rPr>
                <w:rFonts w:hint="eastAsia" w:ascii="仿宋_GB2312" w:hAnsi="宋体" w:eastAsia="仿宋_GB2312" w:cs="Arial"/>
                <w:bCs/>
                <w:sz w:val="20"/>
              </w:rPr>
              <w:t>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完成</w:t>
            </w:r>
          </w:p>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及时性</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及时</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单位上述工作是否在规定时间内完成，达标得权重分，每发现一项工作未及时完成，扣0.5分，扣完为止</w:t>
            </w:r>
          </w:p>
        </w:tc>
        <w:tc>
          <w:tcPr>
            <w:tcW w:w="0" w:type="auto"/>
            <w:vAlign w:val="center"/>
          </w:tcPr>
          <w:p>
            <w:pPr>
              <w:spacing w:line="226" w:lineRule="exact"/>
              <w:rPr>
                <w:rFonts w:hint="eastAsia" w:ascii="仿宋_GB2312" w:hAnsi="宋体" w:eastAsia="仿宋_GB2312" w:cs="Arial"/>
                <w:bCs/>
                <w:sz w:val="20"/>
              </w:rPr>
            </w:pPr>
            <w:r>
              <w:rPr>
                <w:rFonts w:hint="eastAsia" w:ascii="仿宋_GB2312" w:hAnsi="宋体" w:eastAsia="仿宋_GB2312" w:cs="Arial"/>
                <w:bCs/>
                <w:sz w:val="20"/>
              </w:rPr>
              <w:t>上述二项相关工作，工作均于年度内完成,1分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0" w:type="auto"/>
            <w:vMerge w:val="continue"/>
            <w:vAlign w:val="center"/>
          </w:tcPr>
          <w:p>
            <w:pPr>
              <w:spacing w:line="226" w:lineRule="exact"/>
              <w:jc w:val="center"/>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完成质量</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 xml:space="preserve">达标 </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单位上述工作完成是否达标，达标得权重分，每发现一项工作未达标，扣0.5分,扣完为止</w:t>
            </w:r>
          </w:p>
        </w:tc>
        <w:tc>
          <w:tcPr>
            <w:tcW w:w="0" w:type="auto"/>
            <w:vAlign w:val="center"/>
          </w:tcPr>
          <w:p>
            <w:pPr>
              <w:spacing w:line="226" w:lineRule="exact"/>
              <w:rPr>
                <w:rFonts w:ascii="仿宋_GB2312" w:hAnsi="宋体" w:eastAsia="仿宋_GB2312" w:cs="Arial"/>
                <w:bCs/>
                <w:color w:val="FF0000"/>
                <w:sz w:val="20"/>
              </w:rPr>
            </w:pPr>
            <w:r>
              <w:rPr>
                <w:rFonts w:hint="eastAsia" w:ascii="仿宋_GB2312" w:hAnsi="宋体" w:eastAsia="仿宋_GB2312" w:cs="Arial"/>
                <w:bCs/>
                <w:sz w:val="20"/>
              </w:rPr>
              <w:t>上述二项相关工作，均已完成并达标</w:t>
            </w:r>
            <w:r>
              <w:rPr>
                <w:rFonts w:hint="eastAsia" w:ascii="仿宋_GB2312" w:hAnsi="宋体" w:eastAsia="仿宋_GB2312" w:cs="Arial"/>
                <w:bCs/>
                <w:sz w:val="20"/>
                <w:lang w:val="en-US" w:eastAsia="zh-CN"/>
              </w:rPr>
              <w:t>2</w:t>
            </w:r>
            <w:r>
              <w:rPr>
                <w:rFonts w:hint="eastAsia" w:ascii="仿宋_GB2312" w:hAnsi="宋体" w:eastAsia="仿宋_GB2312" w:cs="Arial"/>
                <w:bCs/>
                <w:sz w:val="20"/>
              </w:rPr>
              <w:t>，得1分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0" w:type="auto"/>
            <w:vMerge w:val="restart"/>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部门绩效（34）</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经济效益</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支持经济发展</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支持</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促进服务劳务经济社会发展，支持企业经济发展(2分），保护经济主体合法权益（2分）</w:t>
            </w:r>
          </w:p>
        </w:tc>
        <w:tc>
          <w:tcPr>
            <w:tcW w:w="0" w:type="auto"/>
            <w:vAlign w:val="center"/>
          </w:tcPr>
          <w:p>
            <w:pPr>
              <w:spacing w:line="226" w:lineRule="exact"/>
              <w:rPr>
                <w:rFonts w:ascii="仿宋_GB2312" w:hAnsi="宋体" w:eastAsia="仿宋_GB2312" w:cs="Arial"/>
                <w:bCs/>
                <w:color w:val="FF0000"/>
                <w:sz w:val="20"/>
              </w:rPr>
            </w:pPr>
            <w:r>
              <w:rPr>
                <w:rFonts w:hint="eastAsia" w:ascii="仿宋_GB2312" w:hAnsi="宋体" w:eastAsia="仿宋_GB2312" w:cs="Arial"/>
                <w:bCs/>
                <w:sz w:val="20"/>
              </w:rPr>
              <w:t>打造法律服务产业园区，经验在全省推广，得4分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4</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0" w:type="auto"/>
            <w:vMerge w:val="continue"/>
            <w:vAlign w:val="center"/>
          </w:tcPr>
          <w:p>
            <w:pPr>
              <w:spacing w:line="226" w:lineRule="exact"/>
              <w:rPr>
                <w:rFonts w:ascii="仿宋_GB2312" w:hAnsi="宋体" w:eastAsia="仿宋_GB2312" w:cs="Arial"/>
                <w:bCs/>
              </w:rPr>
            </w:pPr>
          </w:p>
        </w:tc>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社会</w:t>
            </w:r>
          </w:p>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效益</w:t>
            </w:r>
          </w:p>
        </w:tc>
        <w:tc>
          <w:tcPr>
            <w:tcW w:w="0" w:type="auto"/>
            <w:vAlign w:val="center"/>
          </w:tcPr>
          <w:p>
            <w:pPr>
              <w:spacing w:line="226" w:lineRule="exact"/>
              <w:rPr>
                <w:rFonts w:ascii="仿宋_GB2312" w:hAnsi="宋体" w:eastAsia="仿宋_GB2312" w:cs="Arial"/>
                <w:bCs/>
                <w:sz w:val="20"/>
              </w:rPr>
            </w:pPr>
          </w:p>
          <w:p>
            <w:pPr>
              <w:spacing w:line="226" w:lineRule="exact"/>
              <w:rPr>
                <w:rFonts w:ascii="仿宋_GB2312" w:hAnsi="宋体" w:eastAsia="仿宋_GB2312" w:cs="Arial"/>
                <w:bCs/>
                <w:sz w:val="20"/>
              </w:rPr>
            </w:pPr>
            <w:r>
              <w:rPr>
                <w:rFonts w:hint="eastAsia" w:ascii="仿宋_GB2312" w:hAnsi="宋体" w:eastAsia="仿宋_GB2312" w:cs="Arial"/>
                <w:bCs/>
                <w:sz w:val="20"/>
              </w:rPr>
              <w:t>提升全市司法工作首位度</w:t>
            </w:r>
          </w:p>
          <w:p>
            <w:pPr>
              <w:spacing w:line="226" w:lineRule="exact"/>
              <w:rPr>
                <w:rFonts w:ascii="仿宋_GB2312" w:hAnsi="宋体" w:eastAsia="仿宋_GB2312" w:cs="Arial"/>
                <w:bCs/>
                <w:sz w:val="20"/>
              </w:rPr>
            </w:pP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提升</w:t>
            </w:r>
          </w:p>
        </w:tc>
        <w:tc>
          <w:tcPr>
            <w:tcW w:w="0" w:type="auto"/>
            <w:vAlign w:val="center"/>
          </w:tcPr>
          <w:p>
            <w:pPr>
              <w:spacing w:line="226" w:lineRule="exact"/>
              <w:rPr>
                <w:rFonts w:hint="eastAsia" w:ascii="仿宋_GB2312" w:hAnsi="宋体" w:eastAsia="仿宋_GB2312" w:cs="Arial"/>
                <w:bCs/>
                <w:sz w:val="20"/>
                <w:highlight w:val="yellow"/>
                <w:lang w:eastAsia="zh-CN"/>
              </w:rPr>
            </w:pPr>
            <w:r>
              <w:rPr>
                <w:rFonts w:hint="eastAsia" w:ascii="仿宋_GB2312" w:hAnsi="宋体" w:eastAsia="仿宋_GB2312" w:cs="Arial"/>
                <w:bCs/>
                <w:sz w:val="20"/>
              </w:rPr>
              <w:t>市司法局能够认真履行各项职责，全市司法工作稳步推进；推进法治建设工作任务落实、社会治理现代化、全面履行司法行政各项职能、加强司法行政自身建设，</w:t>
            </w:r>
            <w:r>
              <w:rPr>
                <w:rFonts w:hint="eastAsia" w:ascii="仿宋_GB2312" w:hAnsi="宋体" w:eastAsia="仿宋_GB2312" w:cs="Arial"/>
                <w:bCs/>
                <w:sz w:val="20"/>
                <w:lang w:val="en-US"/>
              </w:rPr>
              <w:t>在全省司法系统中处于领先地位。</w:t>
            </w:r>
          </w:p>
        </w:tc>
        <w:tc>
          <w:tcPr>
            <w:tcW w:w="0" w:type="auto"/>
            <w:vAlign w:val="center"/>
          </w:tcPr>
          <w:p>
            <w:pPr>
              <w:spacing w:line="226" w:lineRule="exact"/>
              <w:rPr>
                <w:rFonts w:hint="default" w:ascii="仿宋_GB2312" w:hAnsi="宋体" w:eastAsia="仿宋_GB2312" w:cs="Arial"/>
                <w:bCs/>
                <w:color w:val="FF0000"/>
                <w:sz w:val="20"/>
                <w:lang w:val="en-US"/>
              </w:rPr>
            </w:pPr>
            <w:r>
              <w:rPr>
                <w:rFonts w:hint="eastAsia" w:ascii="仿宋_GB2312" w:hAnsi="宋体" w:eastAsia="仿宋_GB2312" w:cs="Arial"/>
                <w:bCs/>
                <w:sz w:val="20"/>
              </w:rPr>
              <w:t>根据市司法局在</w:t>
            </w:r>
            <w:r>
              <w:rPr>
                <w:rFonts w:hint="eastAsia" w:ascii="仿宋_GB2312" w:hAnsi="宋体" w:eastAsia="仿宋_GB2312" w:cs="Arial"/>
                <w:bCs/>
                <w:sz w:val="20"/>
                <w:lang w:eastAsia="zh-CN"/>
              </w:rPr>
              <w:t>全市</w:t>
            </w:r>
            <w:r>
              <w:rPr>
                <w:rFonts w:hint="eastAsia" w:ascii="仿宋_GB2312" w:hAnsi="宋体" w:eastAsia="仿宋_GB2312" w:cs="Arial"/>
                <w:bCs/>
                <w:sz w:val="20"/>
              </w:rPr>
              <w:t>高质量发展绩效评价达标情况排名，位列</w:t>
            </w:r>
            <w:r>
              <w:rPr>
                <w:rFonts w:hint="eastAsia" w:ascii="仿宋_GB2312" w:hAnsi="宋体" w:eastAsia="仿宋_GB2312" w:cs="Arial"/>
                <w:bCs/>
                <w:sz w:val="20"/>
                <w:lang w:eastAsia="zh-CN"/>
              </w:rPr>
              <w:t>第二等次</w:t>
            </w:r>
            <w:r>
              <w:rPr>
                <w:rFonts w:hint="eastAsia" w:ascii="仿宋_GB2312" w:hAnsi="宋体" w:eastAsia="仿宋_GB2312" w:cs="Arial"/>
                <w:bCs/>
                <w:sz w:val="20"/>
                <w:lang w:val="en-US" w:eastAsia="zh-CN"/>
              </w:rPr>
              <w:t>。得4分</w:t>
            </w:r>
          </w:p>
        </w:tc>
        <w:tc>
          <w:tcPr>
            <w:tcW w:w="5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c>
          <w:tcPr>
            <w:tcW w:w="6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0" w:type="auto"/>
            <w:vMerge w:val="continue"/>
            <w:vAlign w:val="center"/>
          </w:tcPr>
          <w:p>
            <w:pPr>
              <w:spacing w:line="226" w:lineRule="exact"/>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p>
          <w:p>
            <w:pPr>
              <w:spacing w:line="226" w:lineRule="exact"/>
              <w:rPr>
                <w:rFonts w:ascii="仿宋_GB2312" w:hAnsi="宋体" w:eastAsia="仿宋_GB2312" w:cs="Arial"/>
                <w:bCs/>
                <w:sz w:val="20"/>
              </w:rPr>
            </w:pPr>
            <w:r>
              <w:rPr>
                <w:rFonts w:hint="eastAsia" w:ascii="仿宋_GB2312" w:hAnsi="宋体" w:eastAsia="仿宋_GB2312" w:cs="Arial"/>
                <w:bCs/>
                <w:sz w:val="20"/>
              </w:rPr>
              <w:t>提升南京人民调解工作知名度</w:t>
            </w: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提升</w:t>
            </w:r>
          </w:p>
        </w:tc>
        <w:tc>
          <w:tcPr>
            <w:tcW w:w="0" w:type="auto"/>
            <w:vAlign w:val="center"/>
          </w:tcPr>
          <w:p>
            <w:pPr>
              <w:spacing w:line="226" w:lineRule="exact"/>
              <w:rPr>
                <w:rFonts w:ascii="仿宋_GB2312" w:hAnsi="宋体" w:eastAsia="仿宋_GB2312" w:cs="Arial"/>
                <w:bCs/>
                <w:sz w:val="20"/>
                <w:highlight w:val="yellow"/>
              </w:rPr>
            </w:pPr>
            <w:r>
              <w:rPr>
                <w:rFonts w:hint="eastAsia" w:ascii="仿宋_GB2312" w:hAnsi="宋体" w:eastAsia="仿宋_GB2312" w:cs="Arial"/>
                <w:bCs/>
                <w:sz w:val="20"/>
              </w:rPr>
              <w:t>做好人民调解横向交流工作，打造南京人民调解工作品牌，提升南京人民调解工作知名度(</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w:t>
            </w:r>
          </w:p>
          <w:p>
            <w:pPr>
              <w:spacing w:line="226" w:lineRule="exact"/>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color w:val="FF0000"/>
                <w:sz w:val="20"/>
              </w:rPr>
            </w:pPr>
            <w:r>
              <w:rPr>
                <w:rFonts w:hint="eastAsia" w:ascii="仿宋_GB2312" w:eastAsia="仿宋_GB2312"/>
                <w:szCs w:val="32"/>
              </w:rPr>
              <w:t>开展元旦、春节及“两会”期间矛盾纠纷集中排查调处，预计全市全年各类人民调解组织共调处纠纷超17万件。推进商事调解市场化试点，会同法院印发实施方案，指导江北新区开展试点；深化访调对接机制，联合市财政局、信访局印发《关于进一步深化全市访调工作对接的实施意见》。</w:t>
            </w:r>
            <w:r>
              <w:rPr>
                <w:rFonts w:hint="eastAsia" w:ascii="仿宋_GB2312" w:hAnsi="宋体" w:eastAsia="仿宋_GB2312" w:cs="Arial"/>
                <w:bCs/>
                <w:sz w:val="20"/>
              </w:rPr>
              <w:t>得4分</w:t>
            </w:r>
          </w:p>
        </w:tc>
        <w:tc>
          <w:tcPr>
            <w:tcW w:w="5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c>
          <w:tcPr>
            <w:tcW w:w="6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0" w:type="auto"/>
            <w:vMerge w:val="continue"/>
            <w:vAlign w:val="center"/>
          </w:tcPr>
          <w:p>
            <w:pPr>
              <w:spacing w:line="226" w:lineRule="exact"/>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维护社会稳定</w:t>
            </w: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维护</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为社会长治久安提供司法保障，减少社会动荡原因，妥善处理各类社会矛盾（</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w:t>
            </w:r>
          </w:p>
        </w:tc>
        <w:tc>
          <w:tcPr>
            <w:tcW w:w="0" w:type="auto"/>
            <w:vAlign w:val="center"/>
          </w:tcPr>
          <w:p>
            <w:pPr>
              <w:spacing w:line="226" w:lineRule="exact"/>
              <w:rPr>
                <w:rFonts w:hint="eastAsia" w:ascii="仿宋_GB2312" w:hAnsi="宋体" w:eastAsia="仿宋_GB2312" w:cs="Arial"/>
                <w:bCs/>
                <w:sz w:val="20"/>
              </w:rPr>
            </w:pPr>
            <w:r>
              <w:rPr>
                <w:rFonts w:hint="eastAsia" w:ascii="仿宋_GB2312" w:eastAsia="仿宋_GB2312"/>
                <w:szCs w:val="32"/>
              </w:rPr>
              <w:t>司法部在南京召开统筹推进“五项工作”暨基层依法治理工作推进会。赴常州、宜兴、无锡等监狱开展合作共建活动，组织各区局与南京周边8家监所对接，签订共建协议，推进刑罚执行一体化工作深入开展。目前，全市在册社区矫正对象4003人，在册安置帮教对象8338人。未发生有重大影响的重新犯罪案件和脱漏管事件。得4分</w:t>
            </w:r>
          </w:p>
        </w:tc>
        <w:tc>
          <w:tcPr>
            <w:tcW w:w="5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c>
          <w:tcPr>
            <w:tcW w:w="6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0" w:type="auto"/>
            <w:vMerge w:val="continue"/>
            <w:vAlign w:val="center"/>
          </w:tcPr>
          <w:p>
            <w:pPr>
              <w:spacing w:line="226" w:lineRule="exact"/>
              <w:rPr>
                <w:rFonts w:ascii="仿宋_GB2312" w:hAnsi="宋体" w:eastAsia="仿宋_GB2312" w:cs="Arial"/>
                <w:bCs/>
              </w:rPr>
            </w:pPr>
          </w:p>
        </w:tc>
        <w:tc>
          <w:tcPr>
            <w:tcW w:w="0" w:type="auto"/>
            <w:vMerge w:val="continue"/>
            <w:vAlign w:val="center"/>
          </w:tcPr>
          <w:p>
            <w:pPr>
              <w:spacing w:line="226" w:lineRule="exact"/>
              <w:rPr>
                <w:rFonts w:ascii="仿宋_GB2312" w:hAnsi="宋体" w:eastAsia="仿宋_GB2312" w:cs="Arial"/>
                <w:bCs/>
                <w:sz w:val="20"/>
              </w:rPr>
            </w:pP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保障公民合法权益</w:t>
            </w: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保障</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保障人身权,维护民众的财产权益，维护民众的生活秩序（</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w:t>
            </w:r>
          </w:p>
        </w:tc>
        <w:tc>
          <w:tcPr>
            <w:tcW w:w="0" w:type="auto"/>
            <w:vAlign w:val="center"/>
          </w:tcPr>
          <w:p>
            <w:pPr>
              <w:pStyle w:val="43"/>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textAlignment w:val="auto"/>
              <w:rPr>
                <w:rFonts w:ascii="仿宋_GB2312" w:hAnsi="宋体" w:eastAsia="仿宋_GB2312" w:cs="Arial"/>
                <w:bCs/>
                <w:color w:val="FF0000"/>
                <w:sz w:val="20"/>
              </w:rPr>
            </w:pPr>
            <w:r>
              <w:rPr>
                <w:rFonts w:hint="eastAsia" w:ascii="仿宋_GB2312" w:eastAsia="仿宋_GB2312" w:hAnsiTheme="minorHAnsi" w:cstheme="minorBidi"/>
                <w:kern w:val="2"/>
                <w:sz w:val="21"/>
                <w:szCs w:val="32"/>
                <w:lang w:val="en-US" w:eastAsia="zh-CN" w:bidi="ar-SA"/>
              </w:rPr>
              <w:t>办理四大类司法鉴定案件2.77万余件；办理各类公证18.3万余件，其中符合减免费用规定的公证960件，减免费用达98万元。12348公共法律服务热线接听咨询13.34万人次，接通率为97.19%，满意率为99.2%。得4分</w:t>
            </w:r>
          </w:p>
        </w:tc>
        <w:tc>
          <w:tcPr>
            <w:tcW w:w="5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c>
          <w:tcPr>
            <w:tcW w:w="6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0" w:type="auto"/>
            <w:vMerge w:val="continue"/>
            <w:vAlign w:val="center"/>
          </w:tcPr>
          <w:p>
            <w:pPr>
              <w:spacing w:line="226" w:lineRule="exact"/>
              <w:rPr>
                <w:rFonts w:ascii="仿宋_GB2312" w:hAnsi="宋体" w:eastAsia="仿宋_GB2312" w:cs="Arial"/>
                <w:bCs/>
              </w:rPr>
            </w:pP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可持续发展能力</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可持续影响</w:t>
            </w: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100%</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营造良好</w:t>
            </w:r>
            <w:r>
              <w:rPr>
                <w:rFonts w:hint="eastAsia" w:ascii="仿宋_GB2312" w:hAnsi="宋体" w:eastAsia="仿宋_GB2312" w:cs="Arial"/>
                <w:bCs/>
                <w:sz w:val="20"/>
                <w:lang w:val="en-US" w:eastAsia="zh-CN"/>
              </w:rPr>
              <w:t>法治</w:t>
            </w:r>
            <w:r>
              <w:rPr>
                <w:rFonts w:hint="eastAsia" w:ascii="仿宋_GB2312" w:hAnsi="宋体" w:eastAsia="仿宋_GB2312" w:cs="Arial"/>
                <w:bCs/>
                <w:sz w:val="20"/>
              </w:rPr>
              <w:t>环境，推动实现地方社会秩序良性循环发展（</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w:t>
            </w:r>
          </w:p>
        </w:tc>
        <w:tc>
          <w:tcPr>
            <w:tcW w:w="0" w:type="auto"/>
            <w:vAlign w:val="center"/>
          </w:tcPr>
          <w:p>
            <w:pPr>
              <w:pStyle w:val="43"/>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textAlignment w:val="auto"/>
              <w:rPr>
                <w:rFonts w:ascii="仿宋_GB2312" w:hAnsi="宋体" w:eastAsia="仿宋_GB2312" w:cs="Arial"/>
                <w:bCs/>
                <w:color w:val="FF0000"/>
                <w:sz w:val="20"/>
              </w:rPr>
            </w:pPr>
            <w:r>
              <w:rPr>
                <w:rFonts w:hint="eastAsia" w:ascii="仿宋_GB2312" w:eastAsia="仿宋_GB2312" w:hAnsiTheme="minorHAnsi" w:cstheme="minorBidi"/>
                <w:kern w:val="2"/>
                <w:sz w:val="21"/>
                <w:szCs w:val="32"/>
                <w:lang w:val="en-US" w:eastAsia="zh-CN" w:bidi="ar-SA"/>
              </w:rPr>
              <w:t>建成江苏（南京）涉外法律服务中心，10月13日，中心公共服务平台正式运营，受到省市电视和媒体关注报道。成立南京市法学会涉外法治研究会，加强涉外法治理论研究与实践探索。成立南京市紫金山国际商事调解院，全市10家公证处开通“涉外公证+领事认证”一体联办业务。得</w:t>
            </w:r>
            <w:r>
              <w:rPr>
                <w:rFonts w:hint="eastAsia" w:ascii="仿宋_GB2312" w:eastAsia="仿宋_GB2312" w:cstheme="minorBidi"/>
                <w:kern w:val="2"/>
                <w:sz w:val="21"/>
                <w:szCs w:val="32"/>
                <w:lang w:val="en-US" w:eastAsia="zh-CN" w:bidi="ar-SA"/>
              </w:rPr>
              <w:t>4</w:t>
            </w:r>
            <w:r>
              <w:rPr>
                <w:rFonts w:hint="eastAsia" w:ascii="仿宋_GB2312" w:hAnsi="Times New Roman" w:eastAsia="仿宋_GB2312" w:cs="Times New Roman"/>
                <w:kern w:val="2"/>
                <w:sz w:val="21"/>
                <w:szCs w:val="32"/>
                <w:lang w:val="en-US" w:eastAsia="zh-CN" w:bidi="ar-SA"/>
              </w:rPr>
              <w:t>分</w:t>
            </w:r>
          </w:p>
        </w:tc>
        <w:tc>
          <w:tcPr>
            <w:tcW w:w="5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c>
          <w:tcPr>
            <w:tcW w:w="6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0" w:type="auto"/>
            <w:vMerge w:val="continue"/>
            <w:vAlign w:val="center"/>
          </w:tcPr>
          <w:p>
            <w:pPr>
              <w:spacing w:line="226" w:lineRule="exact"/>
              <w:rPr>
                <w:rFonts w:ascii="仿宋_GB2312" w:hAnsi="宋体" w:eastAsia="仿宋_GB2312" w:cs="Arial"/>
                <w:bCs/>
              </w:rPr>
            </w:pPr>
          </w:p>
        </w:tc>
        <w:tc>
          <w:tcPr>
            <w:tcW w:w="0" w:type="auto"/>
            <w:vMerge w:val="restart"/>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服务对象满意度</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省区各级司法部门及相关单位对司法局工作情况满意度</w:t>
            </w: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85%</w:t>
            </w:r>
          </w:p>
        </w:tc>
        <w:tc>
          <w:tcPr>
            <w:tcW w:w="0" w:type="auto"/>
            <w:vAlign w:val="center"/>
          </w:tcPr>
          <w:p>
            <w:pPr>
              <w:spacing w:line="226" w:lineRule="exact"/>
              <w:rPr>
                <w:rFonts w:ascii="仿宋_GB2312" w:hAnsi="宋体" w:eastAsia="仿宋_GB2312" w:cs="Arial"/>
                <w:bCs/>
                <w:sz w:val="20"/>
              </w:rPr>
            </w:pPr>
            <w:r>
              <w:rPr>
                <w:rFonts w:hint="eastAsia" w:ascii="仿宋_GB2312" w:hAnsi="宋体" w:eastAsia="仿宋_GB2312" w:cs="Arial"/>
                <w:bCs/>
                <w:sz w:val="20"/>
              </w:rPr>
              <w:t>提高司法行政工作的满意度，高于85%得满分，每降低10%扣2分，低于60%不得分。</w:t>
            </w:r>
          </w:p>
        </w:tc>
        <w:tc>
          <w:tcPr>
            <w:tcW w:w="0" w:type="auto"/>
            <w:vAlign w:val="center"/>
          </w:tcPr>
          <w:p>
            <w:pPr>
              <w:spacing w:line="226" w:lineRule="exact"/>
              <w:rPr>
                <w:rFonts w:hint="eastAsia" w:ascii="仿宋_GB2312" w:hAnsi="宋体" w:eastAsia="仿宋_GB2312" w:cs="Arial"/>
                <w:bCs/>
                <w:color w:val="FF0000"/>
                <w:sz w:val="20"/>
              </w:rPr>
            </w:pPr>
            <w:r>
              <w:rPr>
                <w:rFonts w:hint="eastAsia" w:ascii="仿宋_GB2312" w:hAnsi="宋体" w:eastAsia="仿宋_GB2312" w:cs="Arial"/>
                <w:bCs/>
                <w:sz w:val="20"/>
              </w:rPr>
              <w:t>满意度</w:t>
            </w:r>
            <w:r>
              <w:rPr>
                <w:rFonts w:hint="eastAsia" w:ascii="仿宋_GB2312" w:hAnsi="宋体" w:eastAsia="仿宋_GB2312" w:cs="Arial"/>
                <w:bCs/>
                <w:sz w:val="20"/>
                <w:lang w:val="en-US" w:eastAsia="zh-CN"/>
              </w:rPr>
              <w:t>96.76</w:t>
            </w:r>
            <w:r>
              <w:rPr>
                <w:rFonts w:hint="eastAsia" w:ascii="仿宋_GB2312" w:hAnsi="宋体" w:eastAsia="仿宋_GB2312" w:cs="Arial"/>
                <w:bCs/>
                <w:sz w:val="20"/>
              </w:rPr>
              <w:t>%，得5分</w:t>
            </w: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5</w:t>
            </w:r>
          </w:p>
        </w:tc>
        <w:tc>
          <w:tcPr>
            <w:tcW w:w="6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0" w:type="auto"/>
            <w:vMerge w:val="continue"/>
            <w:vAlign w:val="center"/>
          </w:tcPr>
          <w:p>
            <w:pPr>
              <w:spacing w:line="226" w:lineRule="exact"/>
              <w:rPr>
                <w:rFonts w:ascii="仿宋_GB2312" w:hAnsi="宋体" w:eastAsia="仿宋_GB2312" w:cs="Arial"/>
                <w:bCs/>
              </w:rPr>
            </w:pPr>
          </w:p>
        </w:tc>
        <w:tc>
          <w:tcPr>
            <w:tcW w:w="0" w:type="auto"/>
            <w:vMerge w:val="continue"/>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rPr>
                <w:rFonts w:hint="eastAsia" w:ascii="仿宋_GB2312" w:hAnsi="宋体" w:eastAsia="方正仿宋_GBK" w:cs="Arial"/>
                <w:bCs/>
                <w:sz w:val="20"/>
                <w:lang w:val="en-US" w:eastAsia="zh-CN"/>
              </w:rPr>
            </w:pPr>
            <w:r>
              <w:rPr>
                <w:rFonts w:hint="eastAsia" w:ascii="仿宋_GB2312" w:hAnsi="宋体" w:eastAsia="仿宋_GB2312" w:cs="Arial"/>
                <w:bCs/>
                <w:sz w:val="20"/>
              </w:rPr>
              <w:t>12348公共法律服务热线</w:t>
            </w:r>
            <w:r>
              <w:rPr>
                <w:rFonts w:hint="eastAsia" w:ascii="仿宋_GB2312" w:hAnsi="宋体" w:eastAsia="仿宋_GB2312" w:cs="Arial"/>
                <w:bCs/>
                <w:sz w:val="20"/>
                <w:lang w:val="en-US" w:eastAsia="zh-CN"/>
              </w:rPr>
              <w:t>满意度</w:t>
            </w:r>
          </w:p>
        </w:tc>
        <w:tc>
          <w:tcPr>
            <w:tcW w:w="0" w:type="auto"/>
            <w:vAlign w:val="center"/>
          </w:tcPr>
          <w:p>
            <w:pPr>
              <w:spacing w:line="226" w:lineRule="exact"/>
              <w:jc w:val="center"/>
              <w:rPr>
                <w:rFonts w:ascii="仿宋_GB2312" w:hAnsi="宋体" w:eastAsia="仿宋_GB2312" w:cs="Arial"/>
                <w:bCs/>
              </w:rPr>
            </w:pPr>
            <w:r>
              <w:rPr>
                <w:rFonts w:hint="eastAsia" w:ascii="仿宋_GB2312" w:hAnsi="宋体" w:eastAsia="仿宋_GB2312" w:cs="Arial"/>
                <w:bCs/>
              </w:rPr>
              <w:t>90%</w:t>
            </w:r>
          </w:p>
        </w:tc>
        <w:tc>
          <w:tcPr>
            <w:tcW w:w="0" w:type="auto"/>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有效提升市民幸福感和安全感，高于90%得满分，每降低10%扣2分，低于60%不得分。</w:t>
            </w:r>
          </w:p>
        </w:tc>
        <w:tc>
          <w:tcPr>
            <w:tcW w:w="0" w:type="auto"/>
            <w:vAlign w:val="center"/>
          </w:tcPr>
          <w:p>
            <w:pPr>
              <w:spacing w:line="226" w:lineRule="exact"/>
              <w:rPr>
                <w:rFonts w:hint="eastAsia" w:ascii="仿宋_GB2312" w:hAnsi="宋体" w:eastAsia="仿宋_GB2312" w:cs="Arial"/>
                <w:bCs/>
                <w:color w:val="FF0000"/>
                <w:sz w:val="20"/>
              </w:rPr>
            </w:pPr>
            <w:r>
              <w:rPr>
                <w:rFonts w:hint="eastAsia" w:ascii="仿宋_GB2312" w:hAnsi="宋体" w:eastAsia="仿宋_GB2312" w:cs="Arial"/>
                <w:bCs/>
                <w:sz w:val="20"/>
              </w:rPr>
              <w:t>满意度</w:t>
            </w:r>
            <w:r>
              <w:rPr>
                <w:rFonts w:hint="eastAsia" w:ascii="仿宋_GB2312" w:hAnsi="宋体" w:eastAsia="仿宋_GB2312" w:cs="Arial"/>
                <w:bCs/>
                <w:sz w:val="20"/>
                <w:lang w:val="en-US" w:eastAsia="zh-CN"/>
              </w:rPr>
              <w:t>99.3</w:t>
            </w:r>
            <w:r>
              <w:rPr>
                <w:rFonts w:hint="eastAsia" w:ascii="仿宋_GB2312" w:hAnsi="宋体" w:eastAsia="仿宋_GB2312" w:cs="Arial"/>
                <w:bCs/>
                <w:sz w:val="20"/>
              </w:rPr>
              <w:t>%，酌情扣</w:t>
            </w:r>
            <w:r>
              <w:rPr>
                <w:rFonts w:hint="eastAsia" w:ascii="仿宋_GB2312" w:hAnsi="宋体" w:eastAsia="仿宋_GB2312" w:cs="Arial"/>
                <w:bCs/>
                <w:sz w:val="20"/>
                <w:lang w:val="en-US" w:eastAsia="zh-CN"/>
              </w:rPr>
              <w:t>1</w:t>
            </w:r>
            <w:r>
              <w:rPr>
                <w:rFonts w:hint="eastAsia" w:ascii="仿宋_GB2312" w:hAnsi="宋体" w:eastAsia="仿宋_GB2312" w:cs="Arial"/>
                <w:bCs/>
                <w:sz w:val="20"/>
              </w:rPr>
              <w:t>分，得</w:t>
            </w:r>
            <w:r>
              <w:rPr>
                <w:rFonts w:hint="eastAsia" w:ascii="仿宋_GB2312" w:hAnsi="宋体" w:eastAsia="仿宋_GB2312" w:cs="Arial"/>
                <w:bCs/>
                <w:sz w:val="20"/>
                <w:lang w:val="en-US" w:eastAsia="zh-CN"/>
              </w:rPr>
              <w:t>5</w:t>
            </w:r>
            <w:r>
              <w:rPr>
                <w:rFonts w:hint="eastAsia" w:ascii="仿宋_GB2312" w:hAnsi="宋体" w:eastAsia="仿宋_GB2312" w:cs="Arial"/>
                <w:bCs/>
                <w:sz w:val="20"/>
              </w:rPr>
              <w:t>分</w:t>
            </w:r>
          </w:p>
        </w:tc>
        <w:tc>
          <w:tcPr>
            <w:tcW w:w="5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6</w:t>
            </w:r>
          </w:p>
        </w:tc>
        <w:tc>
          <w:tcPr>
            <w:tcW w:w="628" w:type="dxa"/>
            <w:vAlign w:val="center"/>
          </w:tcPr>
          <w:p>
            <w:pPr>
              <w:spacing w:line="226" w:lineRule="exact"/>
              <w:jc w:val="center"/>
              <w:rPr>
                <w:rFonts w:hint="eastAsia" w:ascii="仿宋_GB2312" w:hAnsi="宋体" w:eastAsia="仿宋_GB2312" w:cs="Arial"/>
                <w:bCs/>
                <w:sz w:val="20"/>
                <w:lang w:eastAsia="zh-CN"/>
              </w:rPr>
            </w:pPr>
            <w:r>
              <w:rPr>
                <w:rFonts w:hint="eastAsia" w:ascii="仿宋_GB2312" w:hAnsi="宋体" w:eastAsia="仿宋_GB2312" w:cs="Arial"/>
                <w:bCs/>
                <w:sz w:val="20"/>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0" w:type="auto"/>
            <w:gridSpan w:val="2"/>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合计</w:t>
            </w:r>
          </w:p>
        </w:tc>
        <w:tc>
          <w:tcPr>
            <w:tcW w:w="0" w:type="auto"/>
            <w:vAlign w:val="center"/>
          </w:tcPr>
          <w:p>
            <w:pPr>
              <w:spacing w:line="226" w:lineRule="exact"/>
              <w:rPr>
                <w:rFonts w:ascii="仿宋_GB2312" w:hAnsi="宋体" w:eastAsia="仿宋_GB2312" w:cs="Arial"/>
                <w:bCs/>
                <w:sz w:val="20"/>
              </w:rPr>
            </w:pPr>
          </w:p>
        </w:tc>
        <w:tc>
          <w:tcPr>
            <w:tcW w:w="0" w:type="auto"/>
            <w:vAlign w:val="center"/>
          </w:tcPr>
          <w:p>
            <w:pPr>
              <w:spacing w:line="226" w:lineRule="exact"/>
              <w:jc w:val="center"/>
              <w:rPr>
                <w:rFonts w:ascii="仿宋_GB2312" w:hAnsi="宋体" w:eastAsia="仿宋_GB2312" w:cs="Arial"/>
                <w:bCs/>
              </w:rPr>
            </w:pPr>
          </w:p>
        </w:tc>
        <w:tc>
          <w:tcPr>
            <w:tcW w:w="0" w:type="auto"/>
            <w:vAlign w:val="center"/>
          </w:tcPr>
          <w:p>
            <w:pPr>
              <w:spacing w:line="226" w:lineRule="exact"/>
              <w:jc w:val="center"/>
              <w:rPr>
                <w:rFonts w:ascii="仿宋_GB2312" w:hAnsi="宋体" w:eastAsia="仿宋_GB2312" w:cs="Arial"/>
                <w:bCs/>
                <w:sz w:val="20"/>
              </w:rPr>
            </w:pPr>
          </w:p>
        </w:tc>
        <w:tc>
          <w:tcPr>
            <w:tcW w:w="0" w:type="auto"/>
            <w:vAlign w:val="center"/>
          </w:tcPr>
          <w:p>
            <w:pPr>
              <w:spacing w:line="226" w:lineRule="exact"/>
              <w:jc w:val="center"/>
              <w:rPr>
                <w:rFonts w:ascii="仿宋_GB2312" w:hAnsi="宋体" w:eastAsia="仿宋_GB2312" w:cs="Arial"/>
                <w:bCs/>
                <w:sz w:val="20"/>
              </w:rPr>
            </w:pPr>
          </w:p>
        </w:tc>
        <w:tc>
          <w:tcPr>
            <w:tcW w:w="528" w:type="dxa"/>
            <w:vAlign w:val="center"/>
          </w:tcPr>
          <w:p>
            <w:pPr>
              <w:spacing w:line="226" w:lineRule="exact"/>
              <w:jc w:val="center"/>
              <w:rPr>
                <w:rFonts w:ascii="仿宋_GB2312" w:hAnsi="宋体" w:eastAsia="仿宋_GB2312" w:cs="Arial"/>
                <w:bCs/>
                <w:sz w:val="20"/>
              </w:rPr>
            </w:pPr>
            <w:r>
              <w:rPr>
                <w:rFonts w:hint="eastAsia" w:ascii="仿宋_GB2312" w:hAnsi="宋体" w:eastAsia="仿宋_GB2312" w:cs="Arial"/>
                <w:bCs/>
                <w:sz w:val="20"/>
              </w:rPr>
              <w:t>100</w:t>
            </w:r>
          </w:p>
        </w:tc>
        <w:tc>
          <w:tcPr>
            <w:tcW w:w="628" w:type="dxa"/>
            <w:vAlign w:val="center"/>
          </w:tcPr>
          <w:p>
            <w:pPr>
              <w:spacing w:line="226" w:lineRule="exact"/>
              <w:jc w:val="center"/>
              <w:rPr>
                <w:rFonts w:hint="default" w:ascii="仿宋_GB2312" w:hAnsi="宋体" w:eastAsia="仿宋_GB2312" w:cs="Arial"/>
                <w:bCs/>
                <w:sz w:val="20"/>
                <w:lang w:val="en-US" w:eastAsia="zh-CN"/>
              </w:rPr>
            </w:pPr>
            <w:r>
              <w:rPr>
                <w:rFonts w:hint="eastAsia" w:ascii="仿宋_GB2312" w:hAnsi="宋体" w:eastAsia="仿宋_GB2312" w:cs="Arial"/>
                <w:bCs/>
                <w:sz w:val="20"/>
                <w:lang w:val="en-US" w:eastAsia="zh-CN"/>
              </w:rPr>
              <w:t>95</w:t>
            </w:r>
          </w:p>
        </w:tc>
      </w:tr>
    </w:tbl>
    <w:p>
      <w:pPr>
        <w:pStyle w:val="43"/>
        <w:spacing w:after="0" w:line="600" w:lineRule="exact"/>
        <w:ind w:firstLine="640"/>
        <w:jc w:val="both"/>
        <w:rPr>
          <w:rFonts w:ascii="Times New Roman" w:hAnsi="Times New Roman" w:eastAsia="仿宋_GB2312" w:cs="Times New Roman"/>
          <w:color w:val="000000"/>
          <w:szCs w:val="32"/>
          <w:lang w:eastAsia="zh-CN"/>
        </w:rPr>
      </w:pPr>
    </w:p>
    <w:sectPr>
      <w:pgSz w:w="16838" w:h="11906" w:orient="landscape"/>
      <w:pgMar w:top="1588" w:right="1871" w:bottom="1474"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黑体简体">
    <w:altName w:val="微软雅黑"/>
    <w:panose1 w:val="02010601030101010101"/>
    <w:charset w:val="86"/>
    <w:family w:val="auto"/>
    <w:pitch w:val="default"/>
    <w:sig w:usb0="00000000" w:usb1="00000000" w:usb2="00000010" w:usb3="00000000" w:csb0="00040000" w:csb1="00000000"/>
  </w:font>
  <w:font w:name="方正楷体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宋体" w:hAnsi="宋体" w:eastAsia="宋体" w:cs="宋体"/>
        <w:sz w:val="28"/>
        <w:szCs w:val="28"/>
      </w:rPr>
      <w:id w:val="-1"/>
    </w:sdtPr>
    <w:sdtEndPr>
      <w:rPr>
        <w:rFonts w:hint="eastAsia" w:ascii="宋体" w:hAnsi="宋体" w:eastAsia="宋体" w:cs="宋体"/>
        <w:sz w:val="28"/>
        <w:szCs w:val="28"/>
      </w:rPr>
    </w:sdtEndPr>
    <w:sdtContent>
      <w:p>
        <w:pPr>
          <w:pStyle w:val="14"/>
          <w:jc w:val="center"/>
          <w:rPr>
            <w:rFonts w:hint="eastAsia" w:ascii="宋体" w:hAnsi="宋体" w:eastAsia="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784E"/>
    <w:rsid w:val="0001230F"/>
    <w:rsid w:val="00015938"/>
    <w:rsid w:val="00042C11"/>
    <w:rsid w:val="00045C20"/>
    <w:rsid w:val="000662D6"/>
    <w:rsid w:val="000742CF"/>
    <w:rsid w:val="00077C6D"/>
    <w:rsid w:val="000825D7"/>
    <w:rsid w:val="0008661D"/>
    <w:rsid w:val="00090F52"/>
    <w:rsid w:val="00094E38"/>
    <w:rsid w:val="001341EB"/>
    <w:rsid w:val="00146348"/>
    <w:rsid w:val="00161665"/>
    <w:rsid w:val="001665CB"/>
    <w:rsid w:val="00172A27"/>
    <w:rsid w:val="001A7C20"/>
    <w:rsid w:val="001B04C4"/>
    <w:rsid w:val="001F46AC"/>
    <w:rsid w:val="002333C4"/>
    <w:rsid w:val="00262B8A"/>
    <w:rsid w:val="0026624D"/>
    <w:rsid w:val="002D6837"/>
    <w:rsid w:val="003065B2"/>
    <w:rsid w:val="003241C6"/>
    <w:rsid w:val="00327C74"/>
    <w:rsid w:val="00353E4A"/>
    <w:rsid w:val="00434DCA"/>
    <w:rsid w:val="00454BD5"/>
    <w:rsid w:val="0046510B"/>
    <w:rsid w:val="004B1CBC"/>
    <w:rsid w:val="004D1FFC"/>
    <w:rsid w:val="004D6E58"/>
    <w:rsid w:val="004F38F5"/>
    <w:rsid w:val="0051580C"/>
    <w:rsid w:val="005173BC"/>
    <w:rsid w:val="00524DE0"/>
    <w:rsid w:val="00535963"/>
    <w:rsid w:val="00555003"/>
    <w:rsid w:val="005636BB"/>
    <w:rsid w:val="005A32E8"/>
    <w:rsid w:val="005B2F65"/>
    <w:rsid w:val="006324CC"/>
    <w:rsid w:val="006405B3"/>
    <w:rsid w:val="00675F40"/>
    <w:rsid w:val="00692DAE"/>
    <w:rsid w:val="00695AB3"/>
    <w:rsid w:val="006C42CD"/>
    <w:rsid w:val="006F2A9F"/>
    <w:rsid w:val="00710587"/>
    <w:rsid w:val="007119F6"/>
    <w:rsid w:val="00722E79"/>
    <w:rsid w:val="00732B3B"/>
    <w:rsid w:val="00746D4D"/>
    <w:rsid w:val="00784765"/>
    <w:rsid w:val="007A0E60"/>
    <w:rsid w:val="007C2D09"/>
    <w:rsid w:val="007C6863"/>
    <w:rsid w:val="007F2B1C"/>
    <w:rsid w:val="00824D3E"/>
    <w:rsid w:val="00872B30"/>
    <w:rsid w:val="00874BDB"/>
    <w:rsid w:val="008862DB"/>
    <w:rsid w:val="008D051D"/>
    <w:rsid w:val="00955539"/>
    <w:rsid w:val="009D7819"/>
    <w:rsid w:val="009E0C33"/>
    <w:rsid w:val="009E7970"/>
    <w:rsid w:val="00A73593"/>
    <w:rsid w:val="00A93FB1"/>
    <w:rsid w:val="00B55E20"/>
    <w:rsid w:val="00B848C0"/>
    <w:rsid w:val="00C258BA"/>
    <w:rsid w:val="00C42920"/>
    <w:rsid w:val="00C65705"/>
    <w:rsid w:val="00C9121F"/>
    <w:rsid w:val="00CA5B60"/>
    <w:rsid w:val="00D100C2"/>
    <w:rsid w:val="00D4783C"/>
    <w:rsid w:val="00DE59C4"/>
    <w:rsid w:val="00DE7E90"/>
    <w:rsid w:val="00E0136B"/>
    <w:rsid w:val="00E172AA"/>
    <w:rsid w:val="00E403EE"/>
    <w:rsid w:val="00E52A21"/>
    <w:rsid w:val="00EA425E"/>
    <w:rsid w:val="00EA4FA5"/>
    <w:rsid w:val="00F50722"/>
    <w:rsid w:val="00F61CD7"/>
    <w:rsid w:val="00FA01ED"/>
    <w:rsid w:val="00FF3E28"/>
    <w:rsid w:val="0A7478A5"/>
    <w:rsid w:val="0D9D17BA"/>
    <w:rsid w:val="104D011F"/>
    <w:rsid w:val="1125116C"/>
    <w:rsid w:val="11AD2C95"/>
    <w:rsid w:val="13D410D8"/>
    <w:rsid w:val="16234579"/>
    <w:rsid w:val="170B05FA"/>
    <w:rsid w:val="17DD7487"/>
    <w:rsid w:val="17FC3C39"/>
    <w:rsid w:val="1C185B56"/>
    <w:rsid w:val="21BC2573"/>
    <w:rsid w:val="242F3AAF"/>
    <w:rsid w:val="246101E8"/>
    <w:rsid w:val="24BF2421"/>
    <w:rsid w:val="272555B1"/>
    <w:rsid w:val="2A9C30F1"/>
    <w:rsid w:val="2B044D71"/>
    <w:rsid w:val="2BEF4054"/>
    <w:rsid w:val="2BFF73D8"/>
    <w:rsid w:val="2D113364"/>
    <w:rsid w:val="31AA0C3A"/>
    <w:rsid w:val="31F023FB"/>
    <w:rsid w:val="35530BCE"/>
    <w:rsid w:val="35587542"/>
    <w:rsid w:val="35B463C6"/>
    <w:rsid w:val="366C70C0"/>
    <w:rsid w:val="384B66C3"/>
    <w:rsid w:val="3CE53F58"/>
    <w:rsid w:val="3DF329EC"/>
    <w:rsid w:val="3E444973"/>
    <w:rsid w:val="3F9874EA"/>
    <w:rsid w:val="422B4B8E"/>
    <w:rsid w:val="44355342"/>
    <w:rsid w:val="45C844C2"/>
    <w:rsid w:val="46356345"/>
    <w:rsid w:val="49234D8E"/>
    <w:rsid w:val="4A9B77CE"/>
    <w:rsid w:val="4CF1525A"/>
    <w:rsid w:val="4F5F0DCA"/>
    <w:rsid w:val="4F7C7BCE"/>
    <w:rsid w:val="503D4E76"/>
    <w:rsid w:val="520E5057"/>
    <w:rsid w:val="52DD2FBA"/>
    <w:rsid w:val="530727A8"/>
    <w:rsid w:val="53294351"/>
    <w:rsid w:val="596C510A"/>
    <w:rsid w:val="5A681176"/>
    <w:rsid w:val="5AF3EE48"/>
    <w:rsid w:val="5BE81483"/>
    <w:rsid w:val="5FDF4074"/>
    <w:rsid w:val="61903185"/>
    <w:rsid w:val="66052F3E"/>
    <w:rsid w:val="66FC1E7C"/>
    <w:rsid w:val="6AB4102B"/>
    <w:rsid w:val="6AF87183"/>
    <w:rsid w:val="6C5E1BF3"/>
    <w:rsid w:val="6D203026"/>
    <w:rsid w:val="6E3D27C7"/>
    <w:rsid w:val="6E4F236D"/>
    <w:rsid w:val="729079A3"/>
    <w:rsid w:val="73B9A710"/>
    <w:rsid w:val="74310FC9"/>
    <w:rsid w:val="798162E6"/>
    <w:rsid w:val="7A28432B"/>
    <w:rsid w:val="7B805082"/>
    <w:rsid w:val="7B890DF9"/>
    <w:rsid w:val="7C43199A"/>
    <w:rsid w:val="7C7A0508"/>
    <w:rsid w:val="7C941670"/>
    <w:rsid w:val="7E713588"/>
    <w:rsid w:val="7FA727DB"/>
    <w:rsid w:val="7FE76782"/>
    <w:rsid w:val="7FFFEDDB"/>
    <w:rsid w:val="B55F128C"/>
    <w:rsid w:val="D7FC5661"/>
    <w:rsid w:val="FB3706C7"/>
    <w:rsid w:val="FEF7F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5">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6">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7">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8">
    <w:name w:val="heading 5"/>
    <w:basedOn w:val="1"/>
    <w:next w:val="1"/>
    <w:link w:val="26"/>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9">
    <w:name w:val="heading 6"/>
    <w:basedOn w:val="1"/>
    <w:next w:val="1"/>
    <w:link w:val="27"/>
    <w:semiHidden/>
    <w:unhideWhenUsed/>
    <w:qFormat/>
    <w:uiPriority w:val="9"/>
    <w:pPr>
      <w:keepNext/>
      <w:keepLines/>
      <w:spacing w:before="40"/>
      <w:outlineLvl w:val="5"/>
    </w:pPr>
    <w:rPr>
      <w:rFonts w:cstheme="majorBidi"/>
      <w:b/>
      <w:bCs/>
      <w:color w:val="2F5597" w:themeColor="accent1" w:themeShade="BF"/>
    </w:rPr>
  </w:style>
  <w:style w:type="paragraph" w:styleId="10">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0"/>
    <w:pPr>
      <w:spacing w:after="120" w:line="560" w:lineRule="exact"/>
      <w:ind w:firstLine="200" w:firstLineChars="200"/>
    </w:pPr>
    <w:rPr>
      <w:rFonts w:ascii="等线" w:hAnsi="等线" w:eastAsia="仿宋_GB2312" w:cs="Times New Roman"/>
      <w:sz w:val="32"/>
      <w:szCs w:val="24"/>
    </w:rPr>
  </w:style>
  <w:style w:type="paragraph" w:styleId="13">
    <w:name w:val="annotation text"/>
    <w:basedOn w:val="1"/>
    <w:semiHidden/>
    <w:unhideWhenUsed/>
    <w:qFormat/>
    <w:uiPriority w:val="99"/>
    <w:pPr>
      <w:jc w:val="left"/>
    </w:pPr>
  </w:style>
  <w:style w:type="paragraph" w:styleId="14">
    <w:name w:val="footer"/>
    <w:basedOn w:val="1"/>
    <w:link w:val="41"/>
    <w:unhideWhenUsed/>
    <w:qFormat/>
    <w:uiPriority w:val="99"/>
    <w:pPr>
      <w:tabs>
        <w:tab w:val="center" w:pos="4153"/>
        <w:tab w:val="right" w:pos="8306"/>
      </w:tabs>
      <w:snapToGrid w:val="0"/>
      <w:jc w:val="left"/>
    </w:pPr>
    <w:rPr>
      <w:sz w:val="18"/>
      <w:szCs w:val="18"/>
    </w:rPr>
  </w:style>
  <w:style w:type="paragraph" w:styleId="15">
    <w:name w:val="header"/>
    <w:basedOn w:val="1"/>
    <w:link w:val="40"/>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Emphasis"/>
    <w:qFormat/>
    <w:uiPriority w:val="0"/>
    <w:rPr>
      <w:i/>
      <w:iCs/>
    </w:rPr>
  </w:style>
  <w:style w:type="character" w:customStyle="1" w:styleId="22">
    <w:name w:val="标题 1 字符"/>
    <w:basedOn w:val="20"/>
    <w:link w:val="4"/>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20"/>
    <w:link w:val="5"/>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20"/>
    <w:link w:val="6"/>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20"/>
    <w:link w:val="7"/>
    <w:semiHidden/>
    <w:qFormat/>
    <w:uiPriority w:val="9"/>
    <w:rPr>
      <w:rFonts w:cstheme="majorBidi"/>
      <w:color w:val="2F5597" w:themeColor="accent1" w:themeShade="BF"/>
      <w:sz w:val="28"/>
      <w:szCs w:val="28"/>
    </w:rPr>
  </w:style>
  <w:style w:type="character" w:customStyle="1" w:styleId="26">
    <w:name w:val="标题 5 字符"/>
    <w:basedOn w:val="20"/>
    <w:link w:val="8"/>
    <w:semiHidden/>
    <w:qFormat/>
    <w:uiPriority w:val="9"/>
    <w:rPr>
      <w:rFonts w:cstheme="majorBidi"/>
      <w:color w:val="2F5597" w:themeColor="accent1" w:themeShade="BF"/>
      <w:sz w:val="24"/>
      <w:szCs w:val="24"/>
    </w:rPr>
  </w:style>
  <w:style w:type="character" w:customStyle="1" w:styleId="27">
    <w:name w:val="标题 6 字符"/>
    <w:basedOn w:val="20"/>
    <w:link w:val="9"/>
    <w:semiHidden/>
    <w:qFormat/>
    <w:uiPriority w:val="9"/>
    <w:rPr>
      <w:rFonts w:cstheme="majorBidi"/>
      <w:b/>
      <w:bCs/>
      <w:color w:val="2F5597" w:themeColor="accent1" w:themeShade="BF"/>
    </w:rPr>
  </w:style>
  <w:style w:type="character" w:customStyle="1" w:styleId="28">
    <w:name w:val="标题 7 字符"/>
    <w:basedOn w:val="20"/>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20"/>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明显引用 字符"/>
    <w:basedOn w:val="20"/>
    <w:link w:val="37"/>
    <w:qFormat/>
    <w:uiPriority w:val="30"/>
    <w:rPr>
      <w:i/>
      <w:iCs/>
      <w:color w:val="2F5597" w:themeColor="accent1" w:themeShade="BF"/>
    </w:rPr>
  </w:style>
  <w:style w:type="character" w:customStyle="1" w:styleId="39">
    <w:name w:val="明显参考1"/>
    <w:basedOn w:val="20"/>
    <w:qFormat/>
    <w:uiPriority w:val="32"/>
    <w:rPr>
      <w:b/>
      <w:bCs/>
      <w:smallCaps/>
      <w:color w:val="2F5597" w:themeColor="accent1" w:themeShade="BF"/>
      <w:spacing w:val="5"/>
    </w:rPr>
  </w:style>
  <w:style w:type="character" w:customStyle="1" w:styleId="40">
    <w:name w:val="页眉 字符"/>
    <w:basedOn w:val="20"/>
    <w:link w:val="15"/>
    <w:qFormat/>
    <w:uiPriority w:val="99"/>
    <w:rPr>
      <w:sz w:val="18"/>
      <w:szCs w:val="18"/>
    </w:rPr>
  </w:style>
  <w:style w:type="character" w:customStyle="1" w:styleId="41">
    <w:name w:val="页脚 字符"/>
    <w:basedOn w:val="20"/>
    <w:link w:val="14"/>
    <w:qFormat/>
    <w:uiPriority w:val="99"/>
    <w:rPr>
      <w:sz w:val="18"/>
      <w:szCs w:val="18"/>
    </w:rPr>
  </w:style>
  <w:style w:type="paragraph" w:customStyle="1" w:styleId="42">
    <w:name w:val="段"/>
    <w:next w:val="1"/>
    <w:qFormat/>
    <w:uiPriority w:val="0"/>
    <w:pPr>
      <w:autoSpaceDE w:val="0"/>
      <w:autoSpaceDN w:val="0"/>
      <w:ind w:firstLine="200"/>
      <w:jc w:val="both"/>
    </w:pPr>
    <w:rPr>
      <w:rFonts w:ascii="宋体" w:hAnsi="Times New Roman" w:eastAsia="宋体" w:cs="Times New Roman"/>
      <w:sz w:val="21"/>
      <w:szCs w:val="22"/>
      <w:lang w:val="en-US" w:eastAsia="zh-CN" w:bidi="ar-SA"/>
    </w:rPr>
  </w:style>
  <w:style w:type="paragraph" w:customStyle="1" w:styleId="43">
    <w:name w:val="南京正文"/>
    <w:basedOn w:val="1"/>
    <w:qFormat/>
    <w:uiPriority w:val="0"/>
    <w:pPr>
      <w:widowControl/>
      <w:spacing w:after="200" w:line="560" w:lineRule="exact"/>
      <w:ind w:firstLine="200" w:firstLineChars="200"/>
      <w:jc w:val="left"/>
    </w:pPr>
    <w:rPr>
      <w:rFonts w:eastAsia="仿宋"/>
      <w:kern w:val="0"/>
      <w:sz w:val="32"/>
      <w:szCs w:val="28"/>
      <w:lang w:val="zh-CN" w:eastAsia="en-US" w:bidi="en-US"/>
    </w:rPr>
  </w:style>
  <w:style w:type="paragraph" w:customStyle="1" w:styleId="44">
    <w:name w:val="正文标准1"/>
    <w:basedOn w:val="1"/>
    <w:next w:val="1"/>
    <w:qFormat/>
    <w:uiPriority w:val="99"/>
    <w:pPr>
      <w:adjustRightInd w:val="0"/>
      <w:snapToGrid w:val="0"/>
      <w:spacing w:line="560" w:lineRule="exact"/>
      <w:ind w:firstLine="640" w:firstLineChars="200"/>
    </w:pPr>
    <w:rPr>
      <w:rFonts w:ascii="Times New Roman" w:hAnsi="Times New Roman" w:eastAsia="仿宋_GB2312"/>
      <w:sz w:val="32"/>
      <w:szCs w:val="32"/>
    </w:rPr>
  </w:style>
  <w:style w:type="character" w:customStyle="1" w:styleId="45">
    <w:name w:val="font21"/>
    <w:basedOn w:val="20"/>
    <w:qFormat/>
    <w:uiPriority w:val="0"/>
    <w:rPr>
      <w:rFonts w:hint="default" w:ascii="Times New Roman" w:hAnsi="Times New Roman" w:cs="Times New Roman"/>
      <w:color w:val="000000"/>
      <w:sz w:val="36"/>
      <w:szCs w:val="36"/>
      <w:u w:val="none"/>
    </w:rPr>
  </w:style>
  <w:style w:type="character" w:customStyle="1" w:styleId="46">
    <w:name w:val="font01"/>
    <w:basedOn w:val="20"/>
    <w:qFormat/>
    <w:uiPriority w:val="0"/>
    <w:rPr>
      <w:rFonts w:ascii="方正仿宋简体" w:hAnsi="方正仿宋简体" w:eastAsia="方正仿宋简体" w:cs="方正仿宋简体"/>
      <w:color w:val="000000"/>
      <w:sz w:val="36"/>
      <w:szCs w:val="36"/>
      <w:u w:val="none"/>
    </w:rPr>
  </w:style>
  <w:style w:type="character" w:customStyle="1" w:styleId="47">
    <w:name w:val="font41"/>
    <w:basedOn w:val="20"/>
    <w:qFormat/>
    <w:uiPriority w:val="0"/>
    <w:rPr>
      <w:rFonts w:hint="default" w:ascii="Times New Roman" w:hAnsi="Times New Roman" w:cs="Times New Roman"/>
      <w:color w:val="000000"/>
      <w:sz w:val="36"/>
      <w:szCs w:val="36"/>
      <w:u w:val="none"/>
    </w:rPr>
  </w:style>
  <w:style w:type="character" w:customStyle="1" w:styleId="48">
    <w:name w:val="font51"/>
    <w:basedOn w:val="20"/>
    <w:qFormat/>
    <w:uiPriority w:val="0"/>
    <w:rPr>
      <w:rFonts w:hint="default" w:ascii="方正仿宋简体" w:hAnsi="方正仿宋简体" w:eastAsia="方正仿宋简体" w:cs="方正仿宋简体"/>
      <w:color w:val="000000"/>
      <w:sz w:val="36"/>
      <w:szCs w:val="36"/>
      <w:u w:val="none"/>
    </w:rPr>
  </w:style>
  <w:style w:type="paragraph" w:styleId="4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一级标题"/>
    <w:basedOn w:val="1"/>
    <w:next w:val="1"/>
    <w:qFormat/>
    <w:uiPriority w:val="0"/>
    <w:pPr>
      <w:spacing w:line="560" w:lineRule="exact"/>
      <w:ind w:firstLine="200" w:firstLineChars="200"/>
      <w:outlineLvl w:val="0"/>
    </w:pPr>
    <w:rPr>
      <w:rFonts w:ascii="Calibri" w:hAnsi="Calibri" w:eastAsia="方正黑体_GBK"/>
      <w:sz w:val="32"/>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2B4273-34B1-4A2C-850F-12F7ADAF70B1}">
  <ds:schemaRefs/>
</ds:datastoreItem>
</file>

<file path=docProps/app.xml><?xml version="1.0" encoding="utf-8"?>
<Properties xmlns="http://schemas.openxmlformats.org/officeDocument/2006/extended-properties" xmlns:vt="http://schemas.openxmlformats.org/officeDocument/2006/docPropsVTypes">
  <Template>Normal</Template>
  <Company>南京财政</Company>
  <Pages>27</Pages>
  <Words>7950</Words>
  <Characters>8414</Characters>
  <Lines>75</Lines>
  <Paragraphs>21</Paragraphs>
  <TotalTime>2</TotalTime>
  <ScaleCrop>false</ScaleCrop>
  <LinksUpToDate>false</LinksUpToDate>
  <CharactersWithSpaces>8432</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2026-05-09T17:09:00Z</dcterms:created>
  <dc:creator>日 米</dc:creator>
  <cp:lastModifiedBy>涂寅(tuyin)</cp:lastModifiedBy>
  <cp:lastPrinted>2026-05-14T01:04:00Z</cp:lastPrinted>
  <dcterms:modified xsi:type="dcterms:W3CDTF">2026-08-07T08:57:10Z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y fmtid="{D5CDD505-2E9C-101B-9397-08002B2CF9AE}" pid="3" name="ICV">
    <vt:lpwstr>21D878163EA04B83ED76016A64657BE2</vt:lpwstr>
  </property>
  <property fmtid="{D5CDD505-2E9C-101B-9397-08002B2CF9AE}" pid="4" name="KSOTemplateDocerSaveRecord">
    <vt:lpwstr>eyJoZGlkIjoiNjU5ODQ5YjI2MjYxM2VkYTJjNGMyZDEyMzY0OWY1ZTkiLCJ1c2VySWQiOiI2MDI4NTc4MzIifQ==</vt:lpwstr>
  </property>
</Properties>
</file>